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4559" w14:textId="77777777" w:rsidR="00CB5A2A" w:rsidRDefault="00CB5A2A" w:rsidP="00CB5A2A">
      <w:pPr>
        <w:tabs>
          <w:tab w:val="left" w:pos="567"/>
          <w:tab w:val="left" w:pos="9200"/>
        </w:tabs>
        <w:jc w:val="right"/>
        <w:rPr>
          <w:rFonts w:ascii="Arial Black" w:hAnsi="Arial Black"/>
          <w:sz w:val="72"/>
        </w:rPr>
      </w:pPr>
      <w:r>
        <w:rPr>
          <w:noProof/>
          <w:sz w:val="20"/>
          <w:lang w:eastAsia="en-GB"/>
        </w:rPr>
        <w:drawing>
          <wp:inline distT="0" distB="0" distL="0" distR="0" wp14:anchorId="2DD04E24" wp14:editId="2B528ACE">
            <wp:extent cx="2590800" cy="1190625"/>
            <wp:effectExtent l="0" t="0" r="0" b="9525"/>
            <wp:docPr id="5" name="Picture 5"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0C5D20" w:rsidRPr="00B85F3A" w14:paraId="4ED3617F" w14:textId="77777777" w:rsidTr="00CB5A2A">
        <w:trPr>
          <w:trHeight w:val="413"/>
        </w:trPr>
        <w:tc>
          <w:tcPr>
            <w:tcW w:w="3510" w:type="dxa"/>
            <w:shd w:val="clear" w:color="auto" w:fill="auto"/>
            <w:vAlign w:val="center"/>
          </w:tcPr>
          <w:p w14:paraId="4E503555" w14:textId="77777777" w:rsidR="000C5D20" w:rsidRPr="00B85F3A" w:rsidRDefault="000C5D20" w:rsidP="007E36E3">
            <w:pPr>
              <w:pStyle w:val="Heading3"/>
              <w:tabs>
                <w:tab w:val="left" w:pos="567"/>
              </w:tabs>
              <w:rPr>
                <w:color w:val="auto"/>
              </w:rPr>
            </w:pPr>
            <w:r w:rsidRPr="00B85F3A">
              <w:rPr>
                <w:color w:val="auto"/>
              </w:rPr>
              <w:t>Report of</w:t>
            </w:r>
          </w:p>
        </w:tc>
        <w:tc>
          <w:tcPr>
            <w:tcW w:w="3969" w:type="dxa"/>
            <w:shd w:val="clear" w:color="auto" w:fill="auto"/>
            <w:vAlign w:val="center"/>
          </w:tcPr>
          <w:p w14:paraId="761ADB16" w14:textId="77777777" w:rsidR="000C5D20" w:rsidRPr="00B85F3A" w:rsidRDefault="000C5D20" w:rsidP="00CB5A2A">
            <w:pPr>
              <w:tabs>
                <w:tab w:val="left" w:pos="567"/>
              </w:tabs>
              <w:ind w:right="175"/>
              <w:jc w:val="center"/>
              <w:rPr>
                <w:b/>
              </w:rPr>
            </w:pPr>
            <w:r w:rsidRPr="00B85F3A">
              <w:rPr>
                <w:b/>
              </w:rPr>
              <w:t>Meeting</w:t>
            </w:r>
          </w:p>
        </w:tc>
        <w:tc>
          <w:tcPr>
            <w:tcW w:w="2127" w:type="dxa"/>
            <w:shd w:val="clear" w:color="auto" w:fill="auto"/>
            <w:vAlign w:val="center"/>
          </w:tcPr>
          <w:p w14:paraId="7F53D9B1" w14:textId="77777777" w:rsidR="000C5D20" w:rsidRPr="00B85F3A" w:rsidRDefault="000C5D20" w:rsidP="007E36E3">
            <w:pPr>
              <w:tabs>
                <w:tab w:val="left" w:pos="567"/>
              </w:tabs>
              <w:jc w:val="center"/>
              <w:rPr>
                <w:b/>
              </w:rPr>
            </w:pPr>
            <w:r w:rsidRPr="00B85F3A">
              <w:rPr>
                <w:b/>
              </w:rPr>
              <w:t>Date</w:t>
            </w:r>
          </w:p>
        </w:tc>
      </w:tr>
      <w:tr w:rsidR="000C5D20" w:rsidRPr="00B85F3A" w14:paraId="62E287BC" w14:textId="77777777" w:rsidTr="00CB5A2A">
        <w:trPr>
          <w:trHeight w:val="743"/>
        </w:trPr>
        <w:tc>
          <w:tcPr>
            <w:tcW w:w="3510" w:type="dxa"/>
            <w:vAlign w:val="center"/>
          </w:tcPr>
          <w:p w14:paraId="1E502B44" w14:textId="77777777" w:rsidR="000C5D20" w:rsidRPr="00B85F3A" w:rsidRDefault="00CB5A2A" w:rsidP="00CB5A2A">
            <w:pPr>
              <w:tabs>
                <w:tab w:val="left" w:pos="567"/>
              </w:tabs>
              <w:spacing w:before="60" w:after="60"/>
              <w:jc w:val="center"/>
              <w:rPr>
                <w:sz w:val="22"/>
              </w:rPr>
            </w:pPr>
            <w:r>
              <w:rPr>
                <w:sz w:val="22"/>
              </w:rPr>
              <w:t>Central Lancashire Planning Policy Officers</w:t>
            </w:r>
          </w:p>
        </w:tc>
        <w:tc>
          <w:tcPr>
            <w:tcW w:w="3969" w:type="dxa"/>
            <w:vAlign w:val="center"/>
          </w:tcPr>
          <w:p w14:paraId="04989949" w14:textId="77777777" w:rsidR="000C5D20" w:rsidRPr="00B85F3A" w:rsidRDefault="00CB5A2A" w:rsidP="00CB5A2A">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6D3D473B" w14:textId="27CD7CA0" w:rsidR="000C5D20" w:rsidRPr="00B85F3A" w:rsidRDefault="009C1D08" w:rsidP="00323232">
            <w:pPr>
              <w:tabs>
                <w:tab w:val="left" w:pos="567"/>
              </w:tabs>
              <w:spacing w:before="60" w:after="60"/>
              <w:jc w:val="center"/>
              <w:rPr>
                <w:sz w:val="22"/>
              </w:rPr>
            </w:pPr>
            <w:r>
              <w:rPr>
                <w:sz w:val="22"/>
              </w:rPr>
              <w:t xml:space="preserve">4 June 2019 </w:t>
            </w:r>
          </w:p>
        </w:tc>
      </w:tr>
    </w:tbl>
    <w:p w14:paraId="277E2751" w14:textId="77777777" w:rsidR="00496637" w:rsidRDefault="00496637" w:rsidP="00496637">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2DB7171C" w14:textId="77777777" w:rsidR="00496637" w:rsidRPr="00BE59D6" w:rsidRDefault="004E7CEC" w:rsidP="00BE59D6">
      <w:pPr>
        <w:rPr>
          <w:rFonts w:eastAsiaTheme="minorHAnsi" w:cs="Arial"/>
          <w:b/>
          <w:sz w:val="28"/>
          <w:szCs w:val="22"/>
          <w:lang w:eastAsia="en-GB"/>
        </w:rPr>
      </w:pPr>
      <w:r>
        <w:rPr>
          <w:rFonts w:ascii="Arial Black" w:hAnsi="Arial Black"/>
          <w:caps/>
          <w:sz w:val="28"/>
        </w:rPr>
        <w:t xml:space="preserve">Central lancashire local plan review update </w:t>
      </w:r>
    </w:p>
    <w:p w14:paraId="63FE47FD" w14:textId="77777777" w:rsidR="00411A48" w:rsidRPr="00B85F3A" w:rsidRDefault="00411A48" w:rsidP="007E36E3">
      <w:pPr>
        <w:pBdr>
          <w:top w:val="single" w:sz="2" w:space="0" w:color="FFFFFF"/>
          <w:left w:val="single" w:sz="2" w:space="0" w:color="FFFFFF"/>
          <w:bottom w:val="single" w:sz="2" w:space="2" w:color="FFFFFF"/>
          <w:right w:val="single" w:sz="2" w:space="4" w:color="FFFFFF"/>
        </w:pBdr>
        <w:tabs>
          <w:tab w:val="left" w:pos="567"/>
        </w:tabs>
        <w:ind w:right="141"/>
        <w:rPr>
          <w:b/>
          <w:caps/>
          <w:sz w:val="22"/>
        </w:rPr>
      </w:pPr>
    </w:p>
    <w:tbl>
      <w:tblPr>
        <w:tblW w:w="0" w:type="auto"/>
        <w:tblLook w:val="01E0" w:firstRow="1" w:lastRow="1" w:firstColumn="1" w:lastColumn="1" w:noHBand="0" w:noVBand="0"/>
      </w:tblPr>
      <w:tblGrid>
        <w:gridCol w:w="9355"/>
      </w:tblGrid>
      <w:tr w:rsidR="000C5D20" w:rsidRPr="00B85F3A" w14:paraId="3EFE667F" w14:textId="77777777">
        <w:tc>
          <w:tcPr>
            <w:tcW w:w="9855" w:type="dxa"/>
          </w:tcPr>
          <w:p w14:paraId="2D1CA54E" w14:textId="77777777" w:rsidR="000C5D20" w:rsidRPr="00B85F3A" w:rsidRDefault="000C5D20" w:rsidP="007E36E3">
            <w:pPr>
              <w:pBdr>
                <w:top w:val="single" w:sz="2" w:space="0" w:color="FFFFFF"/>
                <w:left w:val="single" w:sz="2" w:space="0" w:color="FFFFFF"/>
                <w:bottom w:val="single" w:sz="2" w:space="2" w:color="FFFFFF"/>
                <w:right w:val="single" w:sz="2" w:space="4" w:color="FFFFFF"/>
              </w:pBdr>
              <w:tabs>
                <w:tab w:val="left" w:pos="567"/>
              </w:tabs>
              <w:spacing w:after="120"/>
              <w:rPr>
                <w:b/>
                <w:caps/>
                <w:sz w:val="22"/>
              </w:rPr>
            </w:pPr>
            <w:r w:rsidRPr="00B85F3A">
              <w:rPr>
                <w:b/>
                <w:caps/>
                <w:sz w:val="22"/>
              </w:rPr>
              <w:t>PURPOSE OF REPORT</w:t>
            </w:r>
          </w:p>
        </w:tc>
      </w:tr>
      <w:tr w:rsidR="000C5D20" w:rsidRPr="00B85F3A" w14:paraId="75315383" w14:textId="77777777">
        <w:tc>
          <w:tcPr>
            <w:tcW w:w="9855" w:type="dxa"/>
          </w:tcPr>
          <w:p w14:paraId="40AEE2B7" w14:textId="77777777" w:rsidR="00496637" w:rsidRDefault="00EE28C2" w:rsidP="00EE28C2">
            <w:pPr>
              <w:pStyle w:val="ListParagraph"/>
              <w:numPr>
                <w:ilvl w:val="0"/>
                <w:numId w:val="13"/>
              </w:numPr>
              <w:pBdr>
                <w:top w:val="single" w:sz="2" w:space="0" w:color="FFFFFF"/>
                <w:left w:val="single" w:sz="2" w:space="0" w:color="FFFFFF"/>
                <w:bottom w:val="single" w:sz="2" w:space="2" w:color="FFFFFF"/>
                <w:right w:val="single" w:sz="2" w:space="4" w:color="FFFFFF"/>
              </w:pBdr>
              <w:ind w:right="141"/>
              <w:rPr>
                <w:sz w:val="22"/>
              </w:rPr>
            </w:pPr>
            <w:r>
              <w:rPr>
                <w:sz w:val="22"/>
              </w:rPr>
              <w:t xml:space="preserve">To provide members with an update on the progress of the review of the Central Lancashire Local Plan. </w:t>
            </w:r>
          </w:p>
          <w:p w14:paraId="103C5263" w14:textId="77777777" w:rsidR="00EE28C2" w:rsidRPr="00EE28C2" w:rsidRDefault="00EE28C2" w:rsidP="00EE28C2">
            <w:pPr>
              <w:pStyle w:val="ListParagraph"/>
              <w:pBdr>
                <w:top w:val="single" w:sz="2" w:space="0" w:color="FFFFFF"/>
                <w:left w:val="single" w:sz="2" w:space="0" w:color="FFFFFF"/>
                <w:bottom w:val="single" w:sz="2" w:space="2" w:color="FFFFFF"/>
                <w:right w:val="single" w:sz="2" w:space="4" w:color="FFFFFF"/>
              </w:pBdr>
              <w:ind w:right="141"/>
              <w:rPr>
                <w:sz w:val="22"/>
              </w:rPr>
            </w:pPr>
          </w:p>
        </w:tc>
      </w:tr>
      <w:tr w:rsidR="000C5D20" w:rsidRPr="00B85F3A" w14:paraId="28BEE790" w14:textId="77777777">
        <w:tc>
          <w:tcPr>
            <w:tcW w:w="9855" w:type="dxa"/>
          </w:tcPr>
          <w:p w14:paraId="005DC799"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C5D20" w:rsidRPr="00B85F3A" w14:paraId="59B33499" w14:textId="77777777">
        <w:tc>
          <w:tcPr>
            <w:tcW w:w="9855" w:type="dxa"/>
          </w:tcPr>
          <w:p w14:paraId="3EC654E2" w14:textId="77777777" w:rsidR="000C5D20" w:rsidRPr="00411A48" w:rsidRDefault="00411A48" w:rsidP="00C8392A">
            <w:pPr>
              <w:pStyle w:val="ListParagraph"/>
              <w:numPr>
                <w:ilvl w:val="0"/>
                <w:numId w:val="1"/>
              </w:numPr>
              <w:pBdr>
                <w:top w:val="single" w:sz="2" w:space="1" w:color="FFFFFF"/>
                <w:left w:val="single" w:sz="2" w:space="0" w:color="FFFFFF"/>
                <w:bottom w:val="single" w:sz="2" w:space="2" w:color="FFFFFF"/>
                <w:right w:val="single" w:sz="2" w:space="4" w:color="FFFFFF"/>
              </w:pBdr>
              <w:ind w:right="141"/>
              <w:rPr>
                <w:sz w:val="22"/>
              </w:rPr>
            </w:pPr>
            <w:r>
              <w:rPr>
                <w:sz w:val="22"/>
              </w:rPr>
              <w:t>To note the contents</w:t>
            </w:r>
            <w:r w:rsidR="00EF44D5">
              <w:rPr>
                <w:sz w:val="22"/>
              </w:rPr>
              <w:t xml:space="preserve"> of the report. </w:t>
            </w:r>
          </w:p>
        </w:tc>
      </w:tr>
    </w:tbl>
    <w:p w14:paraId="4AF5AAE5" w14:textId="77777777" w:rsidR="00496637" w:rsidRDefault="00E91A2D" w:rsidP="00355F92">
      <w:pPr>
        <w:rPr>
          <w:b/>
          <w:sz w:val="22"/>
          <w:szCs w:val="22"/>
        </w:rPr>
      </w:pPr>
      <w:r>
        <w:rPr>
          <w:b/>
          <w:sz w:val="22"/>
          <w:szCs w:val="22"/>
        </w:rPr>
        <w:t xml:space="preserve"> </w:t>
      </w:r>
    </w:p>
    <w:p w14:paraId="4DAA00D0" w14:textId="77777777" w:rsidR="00496637" w:rsidRDefault="00496637" w:rsidP="00496637">
      <w:pPr>
        <w:pStyle w:val="Heading7"/>
        <w:tabs>
          <w:tab w:val="left" w:pos="567"/>
        </w:tabs>
        <w:spacing w:after="120"/>
        <w:ind w:right="0"/>
      </w:pPr>
      <w:r>
        <w:t>EXECUTIVE SUMMARY OF REPORT</w:t>
      </w:r>
    </w:p>
    <w:p w14:paraId="0DEDFB70" w14:textId="19C30602" w:rsidR="00BE59D6" w:rsidRPr="00BE59D6" w:rsidRDefault="00B21D70" w:rsidP="00BE59D6">
      <w:pPr>
        <w:jc w:val="left"/>
        <w:rPr>
          <w:rFonts w:eastAsiaTheme="minorHAnsi" w:cs="Arial"/>
          <w:sz w:val="22"/>
          <w:szCs w:val="22"/>
        </w:rPr>
      </w:pPr>
      <w:r>
        <w:rPr>
          <w:rFonts w:eastAsiaTheme="minorHAnsi" w:cs="Arial"/>
          <w:sz w:val="22"/>
          <w:szCs w:val="22"/>
        </w:rPr>
        <w:t>This is a p</w:t>
      </w:r>
      <w:r w:rsidR="00BE59D6" w:rsidRPr="00BE59D6">
        <w:rPr>
          <w:rFonts w:eastAsiaTheme="minorHAnsi" w:cs="Arial"/>
          <w:sz w:val="22"/>
          <w:szCs w:val="22"/>
        </w:rPr>
        <w:t>eriodic update on Central Lancash</w:t>
      </w:r>
      <w:r w:rsidR="00EE28C2">
        <w:rPr>
          <w:rFonts w:eastAsiaTheme="minorHAnsi" w:cs="Arial"/>
          <w:sz w:val="22"/>
          <w:szCs w:val="22"/>
        </w:rPr>
        <w:t>ire Local Plan Review including:</w:t>
      </w:r>
    </w:p>
    <w:p w14:paraId="7DD3C349" w14:textId="77777777" w:rsidR="00BE59D6" w:rsidRPr="00BE59D6" w:rsidRDefault="00BE59D6" w:rsidP="00BE59D6">
      <w:pPr>
        <w:jc w:val="left"/>
        <w:rPr>
          <w:rFonts w:eastAsiaTheme="minorHAnsi" w:cs="Arial"/>
          <w:sz w:val="22"/>
          <w:szCs w:val="22"/>
        </w:rPr>
      </w:pPr>
    </w:p>
    <w:p w14:paraId="3FF7D249" w14:textId="77777777" w:rsidR="00FD2FEA" w:rsidRDefault="00FD2FEA" w:rsidP="00FD2FEA">
      <w:pPr>
        <w:numPr>
          <w:ilvl w:val="0"/>
          <w:numId w:val="2"/>
        </w:numPr>
        <w:contextualSpacing/>
        <w:jc w:val="left"/>
        <w:rPr>
          <w:rFonts w:eastAsiaTheme="minorHAnsi" w:cs="Arial"/>
          <w:sz w:val="22"/>
          <w:szCs w:val="22"/>
        </w:rPr>
      </w:pPr>
      <w:r>
        <w:rPr>
          <w:rFonts w:eastAsiaTheme="minorHAnsi" w:cs="Arial"/>
          <w:sz w:val="22"/>
          <w:szCs w:val="22"/>
        </w:rPr>
        <w:t xml:space="preserve">Programme </w:t>
      </w:r>
      <w:bookmarkStart w:id="0" w:name="_GoBack"/>
      <w:bookmarkEnd w:id="0"/>
    </w:p>
    <w:p w14:paraId="214B23A5" w14:textId="77777777" w:rsidR="00FD2FEA" w:rsidRDefault="00FD2FEA" w:rsidP="00FD2FEA">
      <w:pPr>
        <w:numPr>
          <w:ilvl w:val="0"/>
          <w:numId w:val="2"/>
        </w:numPr>
        <w:contextualSpacing/>
        <w:jc w:val="left"/>
        <w:rPr>
          <w:rFonts w:eastAsiaTheme="minorHAnsi" w:cs="Arial"/>
          <w:sz w:val="22"/>
          <w:szCs w:val="22"/>
        </w:rPr>
      </w:pPr>
      <w:r>
        <w:rPr>
          <w:rFonts w:eastAsiaTheme="minorHAnsi" w:cs="Arial"/>
          <w:sz w:val="22"/>
          <w:szCs w:val="22"/>
        </w:rPr>
        <w:t>Evidence Gathering</w:t>
      </w:r>
    </w:p>
    <w:p w14:paraId="5AA344B6" w14:textId="4ADF43B5" w:rsidR="00FD2FEA" w:rsidRPr="00FD2FEA" w:rsidRDefault="00BE59D6" w:rsidP="00FD2FEA">
      <w:pPr>
        <w:numPr>
          <w:ilvl w:val="0"/>
          <w:numId w:val="2"/>
        </w:numPr>
        <w:contextualSpacing/>
        <w:jc w:val="left"/>
        <w:rPr>
          <w:rFonts w:eastAsiaTheme="minorHAnsi" w:cs="Arial"/>
          <w:sz w:val="22"/>
          <w:szCs w:val="22"/>
        </w:rPr>
      </w:pPr>
      <w:r w:rsidRPr="00FD2FEA">
        <w:rPr>
          <w:rFonts w:eastAsiaTheme="minorHAnsi" w:cs="Arial"/>
          <w:sz w:val="22"/>
          <w:szCs w:val="22"/>
        </w:rPr>
        <w:t>Issues and Options</w:t>
      </w:r>
      <w:r w:rsidR="00B21D70">
        <w:rPr>
          <w:rFonts w:eastAsiaTheme="minorHAnsi" w:cs="Arial"/>
          <w:sz w:val="22"/>
          <w:szCs w:val="22"/>
        </w:rPr>
        <w:t xml:space="preserve"> Consultation </w:t>
      </w:r>
    </w:p>
    <w:p w14:paraId="448FD6CE" w14:textId="77777777" w:rsidR="0048482B" w:rsidRPr="0048482B" w:rsidRDefault="0048482B" w:rsidP="0048482B">
      <w:pPr>
        <w:rPr>
          <w:rFonts w:eastAsiaTheme="minorHAnsi" w:cs="Arial"/>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EF44D5" w14:paraId="7ADF0943" w14:textId="77777777" w:rsidTr="005B20BB">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5D306AC3" w14:textId="77777777" w:rsidR="00EF44D5" w:rsidRDefault="00EF44D5" w:rsidP="00605A85">
            <w:pPr>
              <w:tabs>
                <w:tab w:val="left" w:pos="567"/>
              </w:tabs>
              <w:rPr>
                <w:b/>
                <w:sz w:val="22"/>
              </w:rPr>
            </w:pPr>
            <w:r>
              <w:rPr>
                <w:b/>
                <w:sz w:val="22"/>
              </w:rPr>
              <w:t>Confidential report</w:t>
            </w:r>
          </w:p>
          <w:p w14:paraId="257C9116" w14:textId="77777777" w:rsidR="00EF44D5" w:rsidRDefault="00EF44D5" w:rsidP="00605A85">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36D6AF17" w14:textId="77777777" w:rsidR="00EF44D5" w:rsidRPr="00BE59D6" w:rsidRDefault="00E91A2D" w:rsidP="00605A85">
            <w:pPr>
              <w:tabs>
                <w:tab w:val="left" w:pos="567"/>
              </w:tabs>
              <w:rPr>
                <w:sz w:val="22"/>
              </w:rPr>
            </w:pPr>
            <w:r w:rsidRPr="00BE59D6">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6507E4BD" w14:textId="77777777" w:rsidR="00EF44D5" w:rsidRPr="00BE59D6" w:rsidRDefault="00EF44D5" w:rsidP="00605A85">
            <w:pPr>
              <w:tabs>
                <w:tab w:val="left" w:pos="567"/>
              </w:tabs>
              <w:rPr>
                <w:b/>
                <w:sz w:val="22"/>
              </w:rPr>
            </w:pPr>
            <w:r w:rsidRPr="00BE59D6">
              <w:rPr>
                <w:b/>
                <w:sz w:val="22"/>
              </w:rPr>
              <w:t>No</w:t>
            </w:r>
          </w:p>
        </w:tc>
      </w:tr>
      <w:tr w:rsidR="00496637" w:rsidRPr="00496637" w14:paraId="604FC5B1"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5973510A" w14:textId="77777777" w:rsidR="00595CDA" w:rsidRDefault="00595CDA" w:rsidP="00496637">
            <w:pPr>
              <w:pBdr>
                <w:top w:val="single" w:sz="2" w:space="1" w:color="FFFFFF"/>
                <w:left w:val="single" w:sz="2" w:space="0" w:color="FFFFFF"/>
                <w:bottom w:val="single" w:sz="2" w:space="2" w:color="FFFFFF"/>
                <w:right w:val="single" w:sz="2" w:space="4" w:color="FFFFFF"/>
              </w:pBdr>
              <w:tabs>
                <w:tab w:val="left" w:pos="567"/>
              </w:tabs>
              <w:rPr>
                <w:b/>
                <w:sz w:val="22"/>
              </w:rPr>
            </w:pPr>
          </w:p>
          <w:p w14:paraId="37F8D6A8"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496637" w:rsidRPr="00496637" w14:paraId="659EBE2F"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F600F42" w14:textId="77777777" w:rsidR="00496637" w:rsidRDefault="00496637"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53364FC3" w14:textId="77777777" w:rsidR="00C8392A" w:rsidRPr="00496637" w:rsidRDefault="00C8392A"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496637" w14:paraId="26BFDB6D"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5F302D1" w14:textId="77777777" w:rsidR="00496637" w:rsidRPr="00496637" w:rsidRDefault="00BE59D6" w:rsidP="00C8392A">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sz w:val="22"/>
              </w:rPr>
            </w:pPr>
            <w:r w:rsidRPr="00C8392A">
              <w:rPr>
                <w:sz w:val="22"/>
              </w:rPr>
              <w:t>To note the contents only</w:t>
            </w:r>
          </w:p>
        </w:tc>
      </w:tr>
    </w:tbl>
    <w:p w14:paraId="2951B3B9" w14:textId="77777777" w:rsidR="00B01C9A" w:rsidRPr="00B01C9A" w:rsidRDefault="00B01C9A" w:rsidP="00B01C9A">
      <w:pPr>
        <w:rPr>
          <w:rFonts w:cs="Arial"/>
          <w:position w:val="10"/>
          <w:sz w:val="22"/>
          <w:szCs w:val="22"/>
        </w:rPr>
      </w:pPr>
    </w:p>
    <w:tbl>
      <w:tblPr>
        <w:tblW w:w="0" w:type="auto"/>
        <w:tblInd w:w="-34" w:type="dxa"/>
        <w:tblLook w:val="01E0" w:firstRow="1" w:lastRow="1" w:firstColumn="1" w:lastColumn="1" w:noHBand="0" w:noVBand="0"/>
      </w:tblPr>
      <w:tblGrid>
        <w:gridCol w:w="9389"/>
      </w:tblGrid>
      <w:tr w:rsidR="00496637" w:rsidRPr="00496637" w14:paraId="603CA6CA" w14:textId="77777777" w:rsidTr="00C8392A">
        <w:tc>
          <w:tcPr>
            <w:tcW w:w="9463" w:type="dxa"/>
          </w:tcPr>
          <w:p w14:paraId="3E6892DA"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4CD69C72"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EC1937" w14:paraId="6CA81C67" w14:textId="77777777" w:rsidTr="00C8392A">
        <w:tc>
          <w:tcPr>
            <w:tcW w:w="9463" w:type="dxa"/>
          </w:tcPr>
          <w:p w14:paraId="11D78A5F" w14:textId="77777777" w:rsidR="00595CDA" w:rsidRPr="00EC1937" w:rsidRDefault="00595CDA" w:rsidP="00C8392A">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rFonts w:cs="Arial"/>
                <w:sz w:val="22"/>
                <w:szCs w:val="22"/>
              </w:rPr>
            </w:pPr>
            <w:r w:rsidRPr="00EC1937">
              <w:rPr>
                <w:rFonts w:cs="Arial"/>
                <w:sz w:val="22"/>
                <w:szCs w:val="22"/>
              </w:rPr>
              <w:t xml:space="preserve">None. </w:t>
            </w:r>
          </w:p>
          <w:p w14:paraId="14E42313" w14:textId="77777777" w:rsidR="00496637" w:rsidRPr="00EC1937" w:rsidRDefault="00496637" w:rsidP="00BE59D6">
            <w:pPr>
              <w:pBdr>
                <w:top w:val="single" w:sz="2" w:space="1" w:color="FFFFFF"/>
                <w:left w:val="single" w:sz="2" w:space="0" w:color="FFFFFF"/>
                <w:bottom w:val="single" w:sz="2" w:space="2" w:color="FFFFFF"/>
                <w:right w:val="single" w:sz="2" w:space="4" w:color="FFFFFF"/>
              </w:pBdr>
              <w:rPr>
                <w:rFonts w:cs="Arial"/>
                <w:sz w:val="22"/>
                <w:szCs w:val="22"/>
              </w:rPr>
            </w:pPr>
          </w:p>
          <w:p w14:paraId="0F224B19" w14:textId="77777777" w:rsidR="004C0256" w:rsidRPr="00EC1937" w:rsidRDefault="00C8392A" w:rsidP="004C0256">
            <w:pPr>
              <w:rPr>
                <w:rFonts w:eastAsiaTheme="minorHAnsi" w:cs="Arial"/>
                <w:b/>
                <w:sz w:val="22"/>
                <w:szCs w:val="22"/>
              </w:rPr>
            </w:pPr>
            <w:r w:rsidRPr="00EC1937">
              <w:rPr>
                <w:rFonts w:eastAsiaTheme="minorHAnsi" w:cs="Arial"/>
                <w:b/>
                <w:sz w:val="22"/>
                <w:szCs w:val="22"/>
              </w:rPr>
              <w:t xml:space="preserve">STAFFING </w:t>
            </w:r>
          </w:p>
          <w:p w14:paraId="31A7C497" w14:textId="77777777" w:rsidR="00B8052D" w:rsidRPr="00EC1937" w:rsidRDefault="00B8052D" w:rsidP="004C0256">
            <w:pPr>
              <w:rPr>
                <w:rFonts w:eastAsiaTheme="minorHAnsi" w:cs="Arial"/>
                <w:b/>
                <w:sz w:val="22"/>
                <w:szCs w:val="22"/>
              </w:rPr>
            </w:pPr>
          </w:p>
          <w:p w14:paraId="5BE7E25A" w14:textId="7B44CBCA" w:rsidR="009C1D08" w:rsidRPr="00EC1937" w:rsidRDefault="00B8052D" w:rsidP="009C1D08">
            <w:pPr>
              <w:pStyle w:val="ListParagraph"/>
              <w:numPr>
                <w:ilvl w:val="0"/>
                <w:numId w:val="1"/>
              </w:numPr>
              <w:rPr>
                <w:rFonts w:eastAsiaTheme="minorHAnsi" w:cs="Arial"/>
                <w:b/>
                <w:sz w:val="22"/>
                <w:szCs w:val="22"/>
              </w:rPr>
            </w:pPr>
            <w:r w:rsidRPr="00EC1937">
              <w:rPr>
                <w:rFonts w:eastAsiaTheme="minorHAnsi" w:cs="Arial"/>
                <w:sz w:val="22"/>
                <w:szCs w:val="22"/>
              </w:rPr>
              <w:t xml:space="preserve">The post of Local Plan Coordinator has </w:t>
            </w:r>
            <w:r w:rsidR="00CC466A" w:rsidRPr="00EC1937">
              <w:rPr>
                <w:rFonts w:eastAsiaTheme="minorHAnsi" w:cs="Arial"/>
                <w:sz w:val="22"/>
                <w:szCs w:val="22"/>
              </w:rPr>
              <w:t xml:space="preserve">finally </w:t>
            </w:r>
            <w:r w:rsidRPr="00EC1937">
              <w:rPr>
                <w:rFonts w:eastAsiaTheme="minorHAnsi" w:cs="Arial"/>
                <w:sz w:val="22"/>
                <w:szCs w:val="22"/>
              </w:rPr>
              <w:t xml:space="preserve">been </w:t>
            </w:r>
            <w:r w:rsidR="00CC466A" w:rsidRPr="00EC1937">
              <w:rPr>
                <w:rFonts w:eastAsiaTheme="minorHAnsi" w:cs="Arial"/>
                <w:sz w:val="22"/>
                <w:szCs w:val="22"/>
              </w:rPr>
              <w:t xml:space="preserve">filled and the new post holder </w:t>
            </w:r>
            <w:r w:rsidR="009C1D08" w:rsidRPr="00EC1937">
              <w:rPr>
                <w:rFonts w:eastAsiaTheme="minorHAnsi" w:cs="Arial"/>
                <w:sz w:val="22"/>
                <w:szCs w:val="22"/>
              </w:rPr>
              <w:t xml:space="preserve">is in place. </w:t>
            </w:r>
          </w:p>
          <w:p w14:paraId="194AF84D" w14:textId="77777777" w:rsidR="009C1D08" w:rsidRPr="00EC1937" w:rsidRDefault="009C1D08" w:rsidP="009C1D08">
            <w:pPr>
              <w:pStyle w:val="ListParagraph"/>
              <w:ind w:left="360"/>
              <w:rPr>
                <w:rFonts w:eastAsiaTheme="minorHAnsi" w:cs="Arial"/>
                <w:b/>
                <w:sz w:val="22"/>
                <w:szCs w:val="22"/>
              </w:rPr>
            </w:pPr>
          </w:p>
          <w:p w14:paraId="23BFFEE6" w14:textId="067F4788" w:rsidR="004C0256" w:rsidRPr="00EC1937" w:rsidRDefault="00C8392A" w:rsidP="009C1D08">
            <w:pPr>
              <w:rPr>
                <w:rFonts w:eastAsiaTheme="minorHAnsi" w:cs="Arial"/>
                <w:b/>
                <w:sz w:val="22"/>
                <w:szCs w:val="22"/>
              </w:rPr>
            </w:pPr>
            <w:r w:rsidRPr="00EC1937">
              <w:rPr>
                <w:rFonts w:eastAsiaTheme="minorHAnsi" w:cs="Arial"/>
                <w:b/>
                <w:sz w:val="22"/>
                <w:szCs w:val="22"/>
              </w:rPr>
              <w:t>MEMORANDUM OF INTENT (PARTNERSHIP AGREEMENT)</w:t>
            </w:r>
          </w:p>
          <w:p w14:paraId="17A27D2C" w14:textId="77777777" w:rsidR="004C0256" w:rsidRPr="00EC1937" w:rsidRDefault="004C0256" w:rsidP="004C0256">
            <w:pPr>
              <w:pStyle w:val="ListParagraph"/>
              <w:rPr>
                <w:rFonts w:eastAsiaTheme="minorHAnsi" w:cs="Arial"/>
                <w:sz w:val="22"/>
                <w:szCs w:val="22"/>
              </w:rPr>
            </w:pPr>
          </w:p>
          <w:p w14:paraId="762CFECC" w14:textId="0208BBAA" w:rsidR="00751D3C" w:rsidRPr="00EC1937" w:rsidRDefault="00BE59D6" w:rsidP="00751D3C">
            <w:pPr>
              <w:pStyle w:val="ListParagraph"/>
              <w:numPr>
                <w:ilvl w:val="0"/>
                <w:numId w:val="1"/>
              </w:numPr>
              <w:rPr>
                <w:rFonts w:eastAsiaTheme="minorHAnsi" w:cs="Arial"/>
                <w:sz w:val="22"/>
                <w:szCs w:val="22"/>
              </w:rPr>
            </w:pPr>
            <w:r w:rsidRPr="00EC1937">
              <w:rPr>
                <w:rFonts w:eastAsiaTheme="minorHAnsi" w:cs="Arial"/>
                <w:sz w:val="22"/>
                <w:szCs w:val="22"/>
              </w:rPr>
              <w:t xml:space="preserve">The draft Memorandum of Intent </w:t>
            </w:r>
            <w:r w:rsidR="00B8052D" w:rsidRPr="00EC1937">
              <w:rPr>
                <w:rFonts w:eastAsiaTheme="minorHAnsi" w:cs="Arial"/>
                <w:sz w:val="22"/>
                <w:szCs w:val="22"/>
              </w:rPr>
              <w:t xml:space="preserve">(which sets out arrangements for matters concerning finance, procurement and staffing) has been circulated to the three legal teams and will be followed up in order to arrange for signature by all 3 councils. </w:t>
            </w:r>
          </w:p>
          <w:p w14:paraId="74FBDCC7" w14:textId="77777777" w:rsidR="009C1D08" w:rsidRPr="00EC1937" w:rsidRDefault="009C1D08" w:rsidP="009C1D08">
            <w:pPr>
              <w:pStyle w:val="ListParagraph"/>
              <w:rPr>
                <w:rFonts w:cs="Arial"/>
                <w:color w:val="424141"/>
                <w:sz w:val="22"/>
                <w:szCs w:val="22"/>
                <w:lang w:eastAsia="en-GB"/>
              </w:rPr>
            </w:pPr>
          </w:p>
          <w:p w14:paraId="58AB9C2A" w14:textId="77777777" w:rsidR="009C1D08" w:rsidRPr="00EC1937" w:rsidRDefault="009C1D08" w:rsidP="009C1D08">
            <w:pPr>
              <w:pStyle w:val="ListParagraph"/>
              <w:spacing w:after="283"/>
              <w:ind w:left="360"/>
              <w:jc w:val="left"/>
              <w:rPr>
                <w:rFonts w:cs="Arial"/>
                <w:color w:val="424141"/>
                <w:sz w:val="22"/>
                <w:szCs w:val="22"/>
                <w:lang w:eastAsia="en-GB"/>
              </w:rPr>
            </w:pPr>
          </w:p>
          <w:p w14:paraId="63A6D74F" w14:textId="77777777" w:rsidR="004C0256" w:rsidRPr="00EC1937" w:rsidRDefault="00C8392A" w:rsidP="004C0256">
            <w:pPr>
              <w:rPr>
                <w:rFonts w:eastAsiaTheme="minorHAnsi" w:cs="Arial"/>
                <w:b/>
                <w:sz w:val="22"/>
                <w:szCs w:val="22"/>
              </w:rPr>
            </w:pPr>
            <w:r w:rsidRPr="00EC1937">
              <w:rPr>
                <w:rFonts w:eastAsiaTheme="minorHAnsi" w:cs="Arial"/>
                <w:b/>
                <w:sz w:val="22"/>
                <w:szCs w:val="22"/>
              </w:rPr>
              <w:t>PROGRAMME</w:t>
            </w:r>
          </w:p>
          <w:p w14:paraId="129ED8BB" w14:textId="77777777" w:rsidR="004C0256" w:rsidRPr="00EC1937" w:rsidRDefault="004C0256" w:rsidP="004C0256">
            <w:pPr>
              <w:pStyle w:val="ListParagraph"/>
              <w:rPr>
                <w:rFonts w:eastAsiaTheme="minorHAnsi" w:cs="Arial"/>
                <w:sz w:val="22"/>
                <w:szCs w:val="22"/>
              </w:rPr>
            </w:pPr>
          </w:p>
          <w:p w14:paraId="1B6DB0A2" w14:textId="3C300EAB" w:rsidR="00605A85" w:rsidRPr="00EC1937" w:rsidRDefault="00751D3C" w:rsidP="00605A85">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color w:val="000000" w:themeColor="text1"/>
                <w:sz w:val="22"/>
                <w:szCs w:val="22"/>
              </w:rPr>
            </w:pPr>
            <w:r w:rsidRPr="00EC1937">
              <w:rPr>
                <w:rFonts w:eastAsiaTheme="minorHAnsi" w:cs="Arial"/>
                <w:sz w:val="22"/>
                <w:szCs w:val="22"/>
              </w:rPr>
              <w:t xml:space="preserve">The programme for the new </w:t>
            </w:r>
            <w:r w:rsidR="00605A85" w:rsidRPr="00EC1937">
              <w:rPr>
                <w:rFonts w:eastAsiaTheme="minorHAnsi" w:cs="Arial"/>
                <w:sz w:val="22"/>
                <w:szCs w:val="22"/>
              </w:rPr>
              <w:t>Local Plan follows</w:t>
            </w:r>
            <w:r w:rsidR="00021B97" w:rsidRPr="00EC1937">
              <w:rPr>
                <w:rFonts w:eastAsiaTheme="minorHAnsi" w:cs="Arial"/>
                <w:sz w:val="22"/>
                <w:szCs w:val="22"/>
              </w:rPr>
              <w:t xml:space="preserve"> our published (statutory) </w:t>
            </w:r>
            <w:r w:rsidRPr="00EC1937">
              <w:rPr>
                <w:rFonts w:eastAsiaTheme="minorHAnsi" w:cs="Arial"/>
                <w:sz w:val="22"/>
                <w:szCs w:val="22"/>
              </w:rPr>
              <w:t>Local Development Scheme (LDS)</w:t>
            </w:r>
            <w:r w:rsidR="00605A85" w:rsidRPr="00EC1937">
              <w:rPr>
                <w:rFonts w:eastAsiaTheme="minorHAnsi" w:cs="Arial"/>
                <w:sz w:val="22"/>
                <w:szCs w:val="22"/>
              </w:rPr>
              <w:t xml:space="preserve"> and the </w:t>
            </w:r>
            <w:r w:rsidRPr="00EC1937">
              <w:rPr>
                <w:rFonts w:eastAsiaTheme="minorHAnsi" w:cs="Arial"/>
                <w:sz w:val="22"/>
                <w:szCs w:val="22"/>
              </w:rPr>
              <w:t xml:space="preserve">next key milestone in the programme will be the Issues and Options consultation </w:t>
            </w:r>
            <w:r w:rsidR="00021B97" w:rsidRPr="00EC1937">
              <w:rPr>
                <w:rFonts w:cs="Arial"/>
                <w:color w:val="000000" w:themeColor="text1"/>
                <w:sz w:val="22"/>
                <w:szCs w:val="22"/>
              </w:rPr>
              <w:t xml:space="preserve">planned for Autumn 2019 which will be followed by the assimilation of the representations made and preparation of the detailed policies and proposals maps. </w:t>
            </w:r>
          </w:p>
          <w:p w14:paraId="4C458110" w14:textId="77777777" w:rsidR="00605A85" w:rsidRPr="00EC1937" w:rsidRDefault="00605A85" w:rsidP="00605A85">
            <w:pPr>
              <w:pStyle w:val="ListParagraph"/>
              <w:pBdr>
                <w:top w:val="single" w:sz="2" w:space="1" w:color="FFFFFF"/>
                <w:left w:val="single" w:sz="2" w:space="0" w:color="FFFFFF"/>
                <w:bottom w:val="single" w:sz="2" w:space="2" w:color="FFFFFF"/>
                <w:right w:val="single" w:sz="2" w:space="4" w:color="FFFFFF"/>
              </w:pBdr>
              <w:tabs>
                <w:tab w:val="left" w:pos="851"/>
              </w:tabs>
              <w:ind w:left="360"/>
              <w:rPr>
                <w:rFonts w:cs="Arial"/>
                <w:color w:val="000000" w:themeColor="text1"/>
                <w:sz w:val="22"/>
                <w:szCs w:val="22"/>
              </w:rPr>
            </w:pPr>
          </w:p>
          <w:p w14:paraId="10EFD08F" w14:textId="77777777" w:rsidR="00B21D70" w:rsidRDefault="00021B97" w:rsidP="00794516">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color w:val="000000" w:themeColor="text1"/>
                <w:sz w:val="22"/>
                <w:szCs w:val="22"/>
              </w:rPr>
            </w:pPr>
            <w:r w:rsidRPr="00EC1937">
              <w:rPr>
                <w:rFonts w:cs="Arial"/>
                <w:color w:val="000000" w:themeColor="text1"/>
                <w:sz w:val="22"/>
                <w:szCs w:val="22"/>
              </w:rPr>
              <w:t>The next consultation thereafter, ‘Preferred Options’ is</w:t>
            </w:r>
            <w:r w:rsidR="00605A85" w:rsidRPr="00EC1937">
              <w:rPr>
                <w:rFonts w:cs="Arial"/>
                <w:color w:val="000000" w:themeColor="text1"/>
                <w:sz w:val="22"/>
                <w:szCs w:val="22"/>
              </w:rPr>
              <w:t xml:space="preserve"> </w:t>
            </w:r>
            <w:r w:rsidR="006F19B6" w:rsidRPr="00EC1937">
              <w:rPr>
                <w:rFonts w:cs="Arial"/>
                <w:color w:val="000000" w:themeColor="text1"/>
                <w:sz w:val="22"/>
                <w:szCs w:val="22"/>
              </w:rPr>
              <w:t>planned to</w:t>
            </w:r>
            <w:r w:rsidRPr="00EC1937">
              <w:rPr>
                <w:rFonts w:cs="Arial"/>
                <w:color w:val="000000" w:themeColor="text1"/>
                <w:sz w:val="22"/>
                <w:szCs w:val="22"/>
              </w:rPr>
              <w:t xml:space="preserve"> be undertaken in Spring 2020</w:t>
            </w:r>
            <w:r w:rsidR="00605A85" w:rsidRPr="00EC1937">
              <w:rPr>
                <w:rFonts w:cs="Arial"/>
                <w:color w:val="000000" w:themeColor="text1"/>
                <w:sz w:val="22"/>
                <w:szCs w:val="22"/>
              </w:rPr>
              <w:t xml:space="preserve"> although it is now envisaged this may be more likely to be later into 2020. Plan-making at this spacial scale is a significant project and </w:t>
            </w:r>
            <w:r w:rsidR="00794516" w:rsidRPr="00EC1937">
              <w:rPr>
                <w:rFonts w:cs="Arial"/>
                <w:color w:val="000000" w:themeColor="text1"/>
                <w:sz w:val="22"/>
                <w:szCs w:val="22"/>
              </w:rPr>
              <w:t xml:space="preserve">so it is very common for timescales to be fluid in order to respond to emerging evidence and challenges with the sheer complexity and enormity of the task. </w:t>
            </w:r>
          </w:p>
          <w:p w14:paraId="5B20B326" w14:textId="77777777" w:rsidR="00B21D70" w:rsidRPr="00B21D70" w:rsidRDefault="00B21D70" w:rsidP="00B21D70">
            <w:pPr>
              <w:pStyle w:val="ListParagraph"/>
              <w:rPr>
                <w:rFonts w:cs="Arial"/>
                <w:color w:val="000000" w:themeColor="text1"/>
                <w:sz w:val="22"/>
                <w:szCs w:val="22"/>
              </w:rPr>
            </w:pPr>
          </w:p>
          <w:p w14:paraId="5E1EF5A0" w14:textId="0EA9535D" w:rsidR="00794516" w:rsidRPr="00EC1937" w:rsidRDefault="00794516" w:rsidP="00794516">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color w:val="000000" w:themeColor="text1"/>
                <w:sz w:val="22"/>
                <w:szCs w:val="22"/>
              </w:rPr>
            </w:pPr>
            <w:r w:rsidRPr="00EC1937">
              <w:rPr>
                <w:rFonts w:cs="Arial"/>
                <w:color w:val="000000" w:themeColor="text1"/>
                <w:sz w:val="22"/>
                <w:szCs w:val="22"/>
              </w:rPr>
              <w:t xml:space="preserve">The key to a successful </w:t>
            </w:r>
            <w:r w:rsidR="00B21D70">
              <w:rPr>
                <w:rFonts w:cs="Arial"/>
                <w:color w:val="000000" w:themeColor="text1"/>
                <w:sz w:val="22"/>
                <w:szCs w:val="22"/>
              </w:rPr>
              <w:t xml:space="preserve">local </w:t>
            </w:r>
            <w:r w:rsidRPr="00EC1937">
              <w:rPr>
                <w:rFonts w:cs="Arial"/>
                <w:color w:val="000000" w:themeColor="text1"/>
                <w:sz w:val="22"/>
                <w:szCs w:val="22"/>
              </w:rPr>
              <w:t xml:space="preserve">plan being delivered is </w:t>
            </w:r>
            <w:r w:rsidR="006F19B6" w:rsidRPr="00EC1937">
              <w:rPr>
                <w:rFonts w:cs="Arial"/>
                <w:color w:val="000000" w:themeColor="text1"/>
                <w:sz w:val="22"/>
                <w:szCs w:val="22"/>
              </w:rPr>
              <w:t>the</w:t>
            </w:r>
            <w:r w:rsidRPr="00EC1937">
              <w:rPr>
                <w:rFonts w:cs="Arial"/>
                <w:color w:val="000000" w:themeColor="text1"/>
                <w:sz w:val="22"/>
                <w:szCs w:val="22"/>
              </w:rPr>
              <w:t xml:space="preserve"> </w:t>
            </w:r>
            <w:r w:rsidR="006F19B6" w:rsidRPr="00EC1937">
              <w:rPr>
                <w:rFonts w:cs="Arial"/>
                <w:color w:val="000000" w:themeColor="text1"/>
                <w:sz w:val="22"/>
                <w:szCs w:val="22"/>
              </w:rPr>
              <w:t>effective</w:t>
            </w:r>
            <w:r w:rsidRPr="00EC1937">
              <w:rPr>
                <w:rFonts w:cs="Arial"/>
                <w:color w:val="000000" w:themeColor="text1"/>
                <w:sz w:val="22"/>
                <w:szCs w:val="22"/>
              </w:rPr>
              <w:t xml:space="preserve"> use of resources and </w:t>
            </w:r>
            <w:r w:rsidR="006F19B6" w:rsidRPr="00EC1937">
              <w:rPr>
                <w:rFonts w:cs="Arial"/>
                <w:color w:val="000000" w:themeColor="text1"/>
                <w:sz w:val="22"/>
                <w:szCs w:val="22"/>
              </w:rPr>
              <w:t>ensuring</w:t>
            </w:r>
            <w:r w:rsidRPr="00EC1937">
              <w:rPr>
                <w:rFonts w:cs="Arial"/>
                <w:color w:val="000000" w:themeColor="text1"/>
                <w:sz w:val="22"/>
                <w:szCs w:val="22"/>
              </w:rPr>
              <w:t xml:space="preserve"> the programme is closely </w:t>
            </w:r>
            <w:r w:rsidR="006F19B6" w:rsidRPr="00EC1937">
              <w:rPr>
                <w:rFonts w:cs="Arial"/>
                <w:color w:val="000000" w:themeColor="text1"/>
                <w:sz w:val="22"/>
                <w:szCs w:val="22"/>
              </w:rPr>
              <w:t>monitored and</w:t>
            </w:r>
            <w:r w:rsidRPr="00EC1937">
              <w:rPr>
                <w:rFonts w:cs="Arial"/>
                <w:color w:val="000000" w:themeColor="text1"/>
                <w:sz w:val="22"/>
                <w:szCs w:val="22"/>
              </w:rPr>
              <w:t xml:space="preserve"> the LDS </w:t>
            </w:r>
            <w:r w:rsidR="006F19B6" w:rsidRPr="00EC1937">
              <w:rPr>
                <w:rFonts w:cs="Arial"/>
                <w:color w:val="000000" w:themeColor="text1"/>
                <w:sz w:val="22"/>
                <w:szCs w:val="22"/>
              </w:rPr>
              <w:t>regularly</w:t>
            </w:r>
            <w:r w:rsidRPr="00EC1937">
              <w:rPr>
                <w:rFonts w:cs="Arial"/>
                <w:color w:val="000000" w:themeColor="text1"/>
                <w:sz w:val="22"/>
                <w:szCs w:val="22"/>
              </w:rPr>
              <w:t xml:space="preserve"> updated, and JAC members will continue to receive regular updates as to the forecasted milestones for the new Local Plan.</w:t>
            </w:r>
          </w:p>
          <w:p w14:paraId="5F36E02E" w14:textId="77777777" w:rsidR="00794516" w:rsidRPr="00EC1937" w:rsidRDefault="00794516" w:rsidP="00794516">
            <w:pPr>
              <w:pBdr>
                <w:top w:val="single" w:sz="2" w:space="1" w:color="FFFFFF"/>
                <w:left w:val="single" w:sz="2" w:space="0" w:color="FFFFFF"/>
                <w:bottom w:val="single" w:sz="2" w:space="2" w:color="FFFFFF"/>
                <w:right w:val="single" w:sz="2" w:space="4" w:color="FFFFFF"/>
              </w:pBdr>
              <w:tabs>
                <w:tab w:val="left" w:pos="851"/>
              </w:tabs>
              <w:rPr>
                <w:rFonts w:cs="Arial"/>
                <w:color w:val="000000" w:themeColor="text1"/>
                <w:sz w:val="22"/>
                <w:szCs w:val="22"/>
              </w:rPr>
            </w:pPr>
          </w:p>
          <w:p w14:paraId="5AF7742F" w14:textId="6964C784" w:rsidR="006A35B0" w:rsidRPr="00EC1937" w:rsidRDefault="00021B97" w:rsidP="00605A85">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color w:val="000000" w:themeColor="text1"/>
                <w:sz w:val="22"/>
                <w:szCs w:val="22"/>
              </w:rPr>
            </w:pPr>
            <w:r w:rsidRPr="00EC1937">
              <w:rPr>
                <w:rFonts w:cs="Arial"/>
                <w:color w:val="000000" w:themeColor="text1"/>
                <w:sz w:val="22"/>
                <w:szCs w:val="22"/>
              </w:rPr>
              <w:t xml:space="preserve"> The anticipated date for adoption of the new Central Lancs Local Plan is </w:t>
            </w:r>
            <w:r w:rsidR="00794516" w:rsidRPr="00EC1937">
              <w:rPr>
                <w:rFonts w:cs="Arial"/>
                <w:color w:val="000000" w:themeColor="text1"/>
                <w:sz w:val="22"/>
                <w:szCs w:val="22"/>
              </w:rPr>
              <w:t xml:space="preserve">currently </w:t>
            </w:r>
            <w:r w:rsidRPr="00EC1937">
              <w:rPr>
                <w:rFonts w:cs="Arial"/>
                <w:color w:val="000000" w:themeColor="text1"/>
                <w:sz w:val="22"/>
                <w:szCs w:val="22"/>
              </w:rPr>
              <w:t xml:space="preserve">Summer 2022. </w:t>
            </w:r>
          </w:p>
          <w:p w14:paraId="6DC01C17" w14:textId="7825F305" w:rsidR="00021B97" w:rsidRPr="00EC1937" w:rsidRDefault="00021B97" w:rsidP="00021B97">
            <w:pPr>
              <w:pBdr>
                <w:top w:val="single" w:sz="2" w:space="1" w:color="FFFFFF"/>
                <w:left w:val="single" w:sz="2" w:space="0" w:color="FFFFFF"/>
                <w:bottom w:val="single" w:sz="2" w:space="2" w:color="FFFFFF"/>
                <w:right w:val="single" w:sz="2" w:space="4" w:color="FFFFFF"/>
              </w:pBdr>
              <w:tabs>
                <w:tab w:val="left" w:pos="851"/>
              </w:tabs>
              <w:rPr>
                <w:rFonts w:eastAsiaTheme="minorHAnsi" w:cs="Arial"/>
                <w:b/>
                <w:sz w:val="22"/>
                <w:szCs w:val="22"/>
              </w:rPr>
            </w:pPr>
          </w:p>
          <w:p w14:paraId="62E8FC61" w14:textId="127CB6E2" w:rsidR="00021B97" w:rsidRPr="00EC1937" w:rsidRDefault="00A264DE" w:rsidP="00021B97">
            <w:pPr>
              <w:pBdr>
                <w:top w:val="single" w:sz="2" w:space="1" w:color="FFFFFF"/>
                <w:left w:val="single" w:sz="2" w:space="0" w:color="FFFFFF"/>
                <w:bottom w:val="single" w:sz="2" w:space="2" w:color="FFFFFF"/>
                <w:right w:val="single" w:sz="2" w:space="4" w:color="FFFFFF"/>
              </w:pBdr>
              <w:tabs>
                <w:tab w:val="left" w:pos="851"/>
              </w:tabs>
              <w:rPr>
                <w:rFonts w:eastAsiaTheme="minorHAnsi" w:cs="Arial"/>
                <w:b/>
                <w:sz w:val="22"/>
                <w:szCs w:val="22"/>
              </w:rPr>
            </w:pPr>
            <w:r w:rsidRPr="00EC1937">
              <w:rPr>
                <w:rFonts w:eastAsiaTheme="minorHAnsi" w:cs="Arial"/>
                <w:b/>
                <w:sz w:val="22"/>
                <w:szCs w:val="22"/>
              </w:rPr>
              <w:t xml:space="preserve">EVIDENCE: </w:t>
            </w:r>
            <w:r w:rsidR="00021B97" w:rsidRPr="00EC1937">
              <w:rPr>
                <w:rFonts w:eastAsiaTheme="minorHAnsi" w:cs="Arial"/>
                <w:b/>
                <w:sz w:val="22"/>
                <w:szCs w:val="22"/>
              </w:rPr>
              <w:t xml:space="preserve">HOUSING </w:t>
            </w:r>
          </w:p>
          <w:p w14:paraId="4ED74C83" w14:textId="77777777" w:rsidR="00EC1937" w:rsidRDefault="00021B97" w:rsidP="00021B97">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ind w:left="502"/>
              <w:rPr>
                <w:rFonts w:cs="Arial"/>
                <w:color w:val="000000" w:themeColor="text1"/>
                <w:sz w:val="22"/>
                <w:szCs w:val="22"/>
              </w:rPr>
            </w:pPr>
            <w:r w:rsidRPr="00EC1937">
              <w:rPr>
                <w:rFonts w:cs="Arial"/>
                <w:color w:val="000000" w:themeColor="text1"/>
                <w:sz w:val="22"/>
                <w:szCs w:val="22"/>
              </w:rPr>
              <w:t>Iceni Projects Consultancy have been commissioned to undertake an additional housing study which will provide the necessary housing need analysis required by the new NPPF</w:t>
            </w:r>
            <w:r w:rsidR="00605A85" w:rsidRPr="00EC1937">
              <w:rPr>
                <w:rFonts w:cs="Arial"/>
                <w:color w:val="000000" w:themeColor="text1"/>
                <w:sz w:val="22"/>
                <w:szCs w:val="22"/>
              </w:rPr>
              <w:t xml:space="preserve">, which </w:t>
            </w:r>
            <w:r w:rsidR="00A264DE" w:rsidRPr="00EC1937">
              <w:rPr>
                <w:rFonts w:cs="Arial"/>
                <w:color w:val="000000" w:themeColor="text1"/>
                <w:sz w:val="22"/>
                <w:szCs w:val="22"/>
              </w:rPr>
              <w:t>requires councils to be able to demonstrate taking account of the needs of groups with specific housing requirements are addressed.</w:t>
            </w:r>
            <w:r w:rsidR="00605A85" w:rsidRPr="00EC1937">
              <w:rPr>
                <w:rFonts w:cs="Arial"/>
                <w:color w:val="000000" w:themeColor="text1"/>
                <w:sz w:val="22"/>
                <w:szCs w:val="22"/>
              </w:rPr>
              <w:t xml:space="preserve"> </w:t>
            </w:r>
          </w:p>
          <w:p w14:paraId="57219F52" w14:textId="77777777" w:rsidR="00EC1937" w:rsidRPr="00F87761" w:rsidRDefault="00EC1937" w:rsidP="00F87761">
            <w:pPr>
              <w:pBdr>
                <w:top w:val="single" w:sz="2" w:space="1" w:color="FFFFFF"/>
                <w:left w:val="single" w:sz="2" w:space="0" w:color="FFFFFF"/>
                <w:bottom w:val="single" w:sz="2" w:space="2" w:color="FFFFFF"/>
                <w:right w:val="single" w:sz="2" w:space="4" w:color="FFFFFF"/>
              </w:pBdr>
              <w:tabs>
                <w:tab w:val="left" w:pos="851"/>
              </w:tabs>
              <w:ind w:left="142"/>
              <w:rPr>
                <w:rFonts w:cs="Arial"/>
                <w:color w:val="000000" w:themeColor="text1"/>
                <w:sz w:val="22"/>
                <w:szCs w:val="22"/>
              </w:rPr>
            </w:pPr>
          </w:p>
          <w:p w14:paraId="5971B6F2" w14:textId="349F1CD3" w:rsidR="00A264DE" w:rsidRPr="00EC1937" w:rsidRDefault="00605A85" w:rsidP="00021B97">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ind w:left="502"/>
              <w:rPr>
                <w:rFonts w:cs="Arial"/>
                <w:color w:val="000000" w:themeColor="text1"/>
                <w:sz w:val="22"/>
                <w:szCs w:val="22"/>
              </w:rPr>
            </w:pPr>
            <w:r w:rsidRPr="00EC1937">
              <w:rPr>
                <w:rFonts w:cs="Arial"/>
                <w:color w:val="000000" w:themeColor="text1"/>
                <w:sz w:val="22"/>
                <w:szCs w:val="22"/>
              </w:rPr>
              <w:t>This includes s</w:t>
            </w:r>
            <w:r w:rsidR="00A264DE" w:rsidRPr="00EC1937">
              <w:rPr>
                <w:rFonts w:cs="Arial"/>
                <w:color w:val="000000" w:themeColor="text1"/>
                <w:sz w:val="22"/>
                <w:szCs w:val="22"/>
              </w:rPr>
              <w:t>ize, type and tenure of housing need</w:t>
            </w:r>
            <w:r w:rsidRPr="00EC1937">
              <w:rPr>
                <w:rFonts w:cs="Arial"/>
                <w:color w:val="000000" w:themeColor="text1"/>
                <w:sz w:val="22"/>
                <w:szCs w:val="22"/>
              </w:rPr>
              <w:t xml:space="preserve"> for groups </w:t>
            </w:r>
            <w:r w:rsidR="00A264DE" w:rsidRPr="00EC1937">
              <w:rPr>
                <w:rFonts w:cs="Arial"/>
                <w:color w:val="000000" w:themeColor="text1"/>
                <w:sz w:val="22"/>
                <w:szCs w:val="22"/>
              </w:rPr>
              <w:t>(including but not limited to</w:t>
            </w:r>
            <w:r w:rsidRPr="00EC1937">
              <w:rPr>
                <w:rFonts w:cs="Arial"/>
                <w:color w:val="000000" w:themeColor="text1"/>
                <w:sz w:val="22"/>
                <w:szCs w:val="22"/>
              </w:rPr>
              <w:t>)</w:t>
            </w:r>
            <w:r w:rsidR="00A264DE" w:rsidRPr="00EC1937">
              <w:rPr>
                <w:rFonts w:cs="Arial"/>
                <w:color w:val="000000" w:themeColor="text1"/>
                <w:sz w:val="22"/>
                <w:szCs w:val="22"/>
              </w:rPr>
              <w:t xml:space="preserve">, those who require affordable housing, families with children, older people, students, people with disabilities, service </w:t>
            </w:r>
            <w:r w:rsidRPr="00EC1937">
              <w:rPr>
                <w:rFonts w:cs="Arial"/>
                <w:color w:val="000000" w:themeColor="text1"/>
                <w:sz w:val="22"/>
                <w:szCs w:val="22"/>
              </w:rPr>
              <w:t>families,</w:t>
            </w:r>
            <w:r w:rsidR="00A264DE" w:rsidRPr="00EC1937">
              <w:rPr>
                <w:rFonts w:cs="Arial"/>
                <w:color w:val="000000" w:themeColor="text1"/>
                <w:sz w:val="22"/>
                <w:szCs w:val="22"/>
              </w:rPr>
              <w:t xml:space="preserve"> </w:t>
            </w:r>
            <w:r w:rsidRPr="00EC1937">
              <w:rPr>
                <w:rFonts w:cs="Arial"/>
                <w:color w:val="000000" w:themeColor="text1"/>
                <w:sz w:val="22"/>
                <w:szCs w:val="22"/>
              </w:rPr>
              <w:t>travellers,</w:t>
            </w:r>
            <w:r w:rsidR="00A264DE" w:rsidRPr="00EC1937">
              <w:rPr>
                <w:rFonts w:cs="Arial"/>
                <w:color w:val="000000" w:themeColor="text1"/>
                <w:sz w:val="22"/>
                <w:szCs w:val="22"/>
              </w:rPr>
              <w:t xml:space="preserve"> people who rent their homes and people wishing to commission or build their own homes</w:t>
            </w:r>
            <w:r w:rsidRPr="00EC1937">
              <w:rPr>
                <w:rFonts w:cs="Arial"/>
                <w:color w:val="000000" w:themeColor="text1"/>
                <w:sz w:val="22"/>
                <w:szCs w:val="22"/>
              </w:rPr>
              <w:t>.</w:t>
            </w:r>
          </w:p>
          <w:p w14:paraId="42D89343" w14:textId="77777777" w:rsidR="00A264DE" w:rsidRPr="00F87761" w:rsidRDefault="00A264DE" w:rsidP="00F87761">
            <w:pPr>
              <w:pBdr>
                <w:top w:val="single" w:sz="2" w:space="1" w:color="FFFFFF"/>
                <w:left w:val="single" w:sz="2" w:space="0" w:color="FFFFFF"/>
                <w:bottom w:val="single" w:sz="2" w:space="2" w:color="FFFFFF"/>
                <w:right w:val="single" w:sz="2" w:space="4" w:color="FFFFFF"/>
              </w:pBdr>
              <w:tabs>
                <w:tab w:val="left" w:pos="851"/>
              </w:tabs>
              <w:ind w:left="142"/>
              <w:rPr>
                <w:rFonts w:cs="Arial"/>
                <w:color w:val="000000" w:themeColor="text1"/>
                <w:sz w:val="22"/>
                <w:szCs w:val="22"/>
              </w:rPr>
            </w:pPr>
          </w:p>
          <w:p w14:paraId="43FC9F01" w14:textId="04ADABB8" w:rsidR="00021B97" w:rsidRPr="00EC1937" w:rsidRDefault="00605A85" w:rsidP="00021B97">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ind w:left="502"/>
              <w:rPr>
                <w:rFonts w:cs="Arial"/>
                <w:color w:val="000000" w:themeColor="text1"/>
                <w:sz w:val="22"/>
                <w:szCs w:val="22"/>
              </w:rPr>
            </w:pPr>
            <w:r w:rsidRPr="00EC1937">
              <w:rPr>
                <w:rFonts w:cs="Arial"/>
                <w:color w:val="000000" w:themeColor="text1"/>
                <w:sz w:val="22"/>
                <w:szCs w:val="22"/>
              </w:rPr>
              <w:t>This piece of work</w:t>
            </w:r>
            <w:r w:rsidR="00021B97" w:rsidRPr="00EC1937">
              <w:rPr>
                <w:rFonts w:cs="Arial"/>
                <w:color w:val="000000" w:themeColor="text1"/>
                <w:sz w:val="22"/>
                <w:szCs w:val="22"/>
              </w:rPr>
              <w:t xml:space="preserve"> will also provide robust evidence for an appropriate distribution of housing across</w:t>
            </w:r>
            <w:r w:rsidR="00AB35A1">
              <w:rPr>
                <w:rFonts w:cs="Arial"/>
                <w:color w:val="000000" w:themeColor="text1"/>
                <w:sz w:val="22"/>
                <w:szCs w:val="22"/>
              </w:rPr>
              <w:t xml:space="preserve"> the three local authorities.</w:t>
            </w:r>
            <w:r w:rsidR="00021B97" w:rsidRPr="00EC1937">
              <w:rPr>
                <w:rFonts w:cs="Arial"/>
                <w:color w:val="000000" w:themeColor="text1"/>
                <w:sz w:val="22"/>
                <w:szCs w:val="22"/>
              </w:rPr>
              <w:t xml:space="preserve"> A draft report is expected in the Summer</w:t>
            </w:r>
            <w:r w:rsidRPr="00EC1937">
              <w:rPr>
                <w:rFonts w:cs="Arial"/>
                <w:color w:val="000000" w:themeColor="text1"/>
                <w:sz w:val="22"/>
                <w:szCs w:val="22"/>
              </w:rPr>
              <w:t xml:space="preserve"> and will be presented to JAC </w:t>
            </w:r>
            <w:r w:rsidR="00AB35A1" w:rsidRPr="00EC1937">
              <w:rPr>
                <w:rFonts w:cs="Arial"/>
                <w:color w:val="000000" w:themeColor="text1"/>
                <w:sz w:val="22"/>
                <w:szCs w:val="22"/>
              </w:rPr>
              <w:t>thereafter</w:t>
            </w:r>
            <w:r w:rsidR="00AB35A1">
              <w:rPr>
                <w:rFonts w:cs="Arial"/>
                <w:color w:val="000000" w:themeColor="text1"/>
                <w:sz w:val="22"/>
                <w:szCs w:val="22"/>
              </w:rPr>
              <w:t xml:space="preserve">, informing the review of the existing Memorandum of Understanding (MOU) between the three councils and the future policy for housing distribution. </w:t>
            </w:r>
          </w:p>
          <w:p w14:paraId="41F455A7" w14:textId="3F8BEFA3" w:rsidR="002F5B13" w:rsidRPr="00EC1937" w:rsidRDefault="002F5B13" w:rsidP="002F5B13">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p>
          <w:p w14:paraId="76750D50" w14:textId="38C8DE17" w:rsidR="002F5B13" w:rsidRPr="00EC1937" w:rsidRDefault="00A264DE" w:rsidP="002F5B13">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r w:rsidRPr="00EC1937">
              <w:rPr>
                <w:rFonts w:cs="Arial"/>
                <w:b/>
                <w:color w:val="000000" w:themeColor="text1"/>
                <w:sz w:val="22"/>
                <w:szCs w:val="22"/>
              </w:rPr>
              <w:t xml:space="preserve">EVIDENCE: </w:t>
            </w:r>
            <w:r w:rsidR="002F5B13" w:rsidRPr="00EC1937">
              <w:rPr>
                <w:rFonts w:cs="Arial"/>
                <w:b/>
                <w:color w:val="000000" w:themeColor="text1"/>
                <w:sz w:val="22"/>
                <w:szCs w:val="22"/>
              </w:rPr>
              <w:t xml:space="preserve">GYPSY AND TRAVELLER ACCOMODATION ASSESSMENT </w:t>
            </w:r>
          </w:p>
          <w:p w14:paraId="1BFFABC5" w14:textId="3A6D52DF" w:rsidR="002F5B13" w:rsidRPr="00EC1937" w:rsidRDefault="002F5B13" w:rsidP="002F5B13">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p>
          <w:p w14:paraId="0F111898" w14:textId="7BFE5A86" w:rsidR="002F5B13" w:rsidRPr="00EC1937" w:rsidRDefault="002F5B13" w:rsidP="002F5B13">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r w:rsidRPr="00EC1937">
              <w:rPr>
                <w:rFonts w:cs="Arial"/>
                <w:color w:val="000000" w:themeColor="text1"/>
                <w:sz w:val="22"/>
                <w:szCs w:val="22"/>
              </w:rPr>
              <w:t xml:space="preserve">This is now complete with a presentation of findings to be presented to the JAC. Upon issue of the final assessment report, this will be uploaded </w:t>
            </w:r>
            <w:r w:rsidR="00A23BA9" w:rsidRPr="00EC1937">
              <w:rPr>
                <w:rFonts w:cs="Arial"/>
                <w:color w:val="000000" w:themeColor="text1"/>
                <w:sz w:val="22"/>
                <w:szCs w:val="22"/>
              </w:rPr>
              <w:t xml:space="preserve">to all three council websites and the Central Lancashire Local Plan Website. </w:t>
            </w:r>
          </w:p>
          <w:p w14:paraId="00D0EDDA" w14:textId="2FE15ED1" w:rsidR="00043DF9" w:rsidRPr="00EC1937" w:rsidRDefault="00043DF9" w:rsidP="00043DF9">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p>
          <w:p w14:paraId="73FF4F37" w14:textId="426FF9C1" w:rsidR="00043DF9" w:rsidRPr="00EC1937" w:rsidRDefault="00A264DE" w:rsidP="00043DF9">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r w:rsidRPr="00EC1937">
              <w:rPr>
                <w:rFonts w:cs="Arial"/>
                <w:b/>
                <w:color w:val="000000" w:themeColor="text1"/>
                <w:sz w:val="22"/>
                <w:szCs w:val="22"/>
              </w:rPr>
              <w:t xml:space="preserve">EVIDENCE: </w:t>
            </w:r>
            <w:r w:rsidR="00043DF9" w:rsidRPr="00EC1937">
              <w:rPr>
                <w:rFonts w:cs="Arial"/>
                <w:b/>
                <w:color w:val="000000" w:themeColor="text1"/>
                <w:sz w:val="22"/>
                <w:szCs w:val="22"/>
              </w:rPr>
              <w:t xml:space="preserve">STRATEGIC FLOOD RISK ASSESSMENT </w:t>
            </w:r>
          </w:p>
          <w:p w14:paraId="37C8BEB2" w14:textId="2B487607" w:rsidR="00A26A6F" w:rsidRPr="00EC1937" w:rsidRDefault="00A26A6F" w:rsidP="00043DF9">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p>
          <w:p w14:paraId="2A21406A" w14:textId="6F684E9D" w:rsidR="00A264DE" w:rsidRPr="00EC1937" w:rsidRDefault="00A264DE" w:rsidP="00961A2D">
            <w:pPr>
              <w:pStyle w:val="ListParagraph"/>
              <w:numPr>
                <w:ilvl w:val="0"/>
                <w:numId w:val="1"/>
              </w:numPr>
              <w:rPr>
                <w:rFonts w:cs="Arial"/>
                <w:sz w:val="22"/>
                <w:szCs w:val="22"/>
              </w:rPr>
            </w:pPr>
            <w:r w:rsidRPr="00EC1937">
              <w:rPr>
                <w:rFonts w:cs="Arial"/>
                <w:sz w:val="22"/>
                <w:szCs w:val="22"/>
              </w:rPr>
              <w:t xml:space="preserve">JBA Consulting are undertaking the update to the Level 1 </w:t>
            </w:r>
            <w:r w:rsidR="00E80217" w:rsidRPr="00EC1937">
              <w:rPr>
                <w:rFonts w:cs="Arial"/>
                <w:sz w:val="22"/>
                <w:szCs w:val="22"/>
              </w:rPr>
              <w:t>Strategic Flood Risk Assessment (</w:t>
            </w:r>
            <w:r w:rsidRPr="00EC1937">
              <w:rPr>
                <w:rFonts w:cs="Arial"/>
                <w:sz w:val="22"/>
                <w:szCs w:val="22"/>
              </w:rPr>
              <w:t>SFRA</w:t>
            </w:r>
            <w:r w:rsidR="00E80217" w:rsidRPr="00EC1937">
              <w:rPr>
                <w:rFonts w:cs="Arial"/>
                <w:sz w:val="22"/>
                <w:szCs w:val="22"/>
              </w:rPr>
              <w:t>)</w:t>
            </w:r>
            <w:r w:rsidRPr="00EC1937">
              <w:rPr>
                <w:rFonts w:cs="Arial"/>
                <w:sz w:val="22"/>
                <w:szCs w:val="22"/>
              </w:rPr>
              <w:t xml:space="preserve"> for Central </w:t>
            </w:r>
            <w:r w:rsidR="00F87761" w:rsidRPr="00EC1937">
              <w:rPr>
                <w:rFonts w:cs="Arial"/>
                <w:sz w:val="22"/>
                <w:szCs w:val="22"/>
              </w:rPr>
              <w:t>Lancashire. This</w:t>
            </w:r>
            <w:r w:rsidR="00EC1937" w:rsidRPr="00EC1937">
              <w:rPr>
                <w:rFonts w:cs="Arial"/>
                <w:sz w:val="22"/>
                <w:szCs w:val="22"/>
              </w:rPr>
              <w:t xml:space="preserve"> is a crucial piece of evidence which is used to influence the spatial location of development in the new local plan. JBA </w:t>
            </w:r>
            <w:r w:rsidRPr="00EC1937">
              <w:rPr>
                <w:rFonts w:cs="Arial"/>
                <w:sz w:val="22"/>
                <w:szCs w:val="22"/>
              </w:rPr>
              <w:t xml:space="preserve">are progressing with </w:t>
            </w:r>
            <w:r w:rsidR="00E80217" w:rsidRPr="00EC1937">
              <w:rPr>
                <w:rFonts w:cs="Arial"/>
                <w:sz w:val="22"/>
                <w:szCs w:val="22"/>
              </w:rPr>
              <w:t xml:space="preserve">the </w:t>
            </w:r>
            <w:r w:rsidRPr="00EC1937">
              <w:rPr>
                <w:rFonts w:cs="Arial"/>
                <w:sz w:val="22"/>
                <w:szCs w:val="22"/>
              </w:rPr>
              <w:t>work and have recently provided a draft version of the functional floodplain for comment, which is a crucial element of the SFRA. The Steering Group has met to discuss this and provide feedback which will be sent to JBA shortly, so that they can produce a final version.</w:t>
            </w:r>
          </w:p>
          <w:p w14:paraId="21D9D4CD" w14:textId="77777777" w:rsidR="00961A2D" w:rsidRPr="00EC1937" w:rsidRDefault="00961A2D" w:rsidP="00961A2D">
            <w:pPr>
              <w:pStyle w:val="ListParagraph"/>
              <w:ind w:left="360"/>
              <w:rPr>
                <w:rFonts w:cs="Arial"/>
                <w:sz w:val="22"/>
                <w:szCs w:val="22"/>
              </w:rPr>
            </w:pPr>
          </w:p>
          <w:p w14:paraId="133BF20D" w14:textId="4ED7514E" w:rsidR="00EC1937" w:rsidRDefault="00A264DE" w:rsidP="00A264DE">
            <w:pPr>
              <w:pStyle w:val="ListParagraph"/>
              <w:numPr>
                <w:ilvl w:val="0"/>
                <w:numId w:val="1"/>
              </w:numPr>
              <w:rPr>
                <w:rFonts w:cs="Arial"/>
                <w:sz w:val="22"/>
                <w:szCs w:val="22"/>
              </w:rPr>
            </w:pPr>
            <w:r w:rsidRPr="00EC1937">
              <w:rPr>
                <w:rFonts w:cs="Arial"/>
                <w:sz w:val="22"/>
                <w:szCs w:val="22"/>
              </w:rPr>
              <w:lastRenderedPageBreak/>
              <w:t xml:space="preserve">There </w:t>
            </w:r>
            <w:r w:rsidR="00F87761" w:rsidRPr="00EC1937">
              <w:rPr>
                <w:rFonts w:cs="Arial"/>
                <w:sz w:val="22"/>
                <w:szCs w:val="22"/>
              </w:rPr>
              <w:t>have been</w:t>
            </w:r>
            <w:r w:rsidRPr="00EC1937">
              <w:rPr>
                <w:rFonts w:cs="Arial"/>
                <w:sz w:val="22"/>
                <w:szCs w:val="22"/>
              </w:rPr>
              <w:t xml:space="preserve"> issues with communication from LCC as the</w:t>
            </w:r>
            <w:r w:rsidR="00961A2D" w:rsidRPr="00EC1937">
              <w:rPr>
                <w:rFonts w:cs="Arial"/>
                <w:sz w:val="22"/>
                <w:szCs w:val="22"/>
              </w:rPr>
              <w:t xml:space="preserve"> </w:t>
            </w:r>
            <w:r w:rsidR="005C1DC2" w:rsidRPr="00EC1937">
              <w:rPr>
                <w:rFonts w:cs="Arial"/>
                <w:sz w:val="22"/>
                <w:szCs w:val="22"/>
              </w:rPr>
              <w:t xml:space="preserve">Lead Local Flood </w:t>
            </w:r>
            <w:r w:rsidR="00605A85" w:rsidRPr="00EC1937">
              <w:rPr>
                <w:rFonts w:cs="Arial"/>
                <w:sz w:val="22"/>
                <w:szCs w:val="22"/>
              </w:rPr>
              <w:t>Authority (LLFA</w:t>
            </w:r>
            <w:r w:rsidR="00961A2D" w:rsidRPr="00EC1937">
              <w:rPr>
                <w:rFonts w:cs="Arial"/>
                <w:sz w:val="22"/>
                <w:szCs w:val="22"/>
              </w:rPr>
              <w:t>)</w:t>
            </w:r>
            <w:r w:rsidRPr="00EC1937">
              <w:rPr>
                <w:rFonts w:cs="Arial"/>
                <w:sz w:val="22"/>
                <w:szCs w:val="22"/>
              </w:rPr>
              <w:t xml:space="preserve">, who are a key partner on the Steering Group. </w:t>
            </w:r>
            <w:r w:rsidR="00605A85" w:rsidRPr="00EC1937">
              <w:rPr>
                <w:rFonts w:cs="Arial"/>
                <w:sz w:val="22"/>
                <w:szCs w:val="22"/>
              </w:rPr>
              <w:t>Unfortunately,</w:t>
            </w:r>
            <w:r w:rsidRPr="00EC1937">
              <w:rPr>
                <w:rFonts w:cs="Arial"/>
                <w:sz w:val="22"/>
                <w:szCs w:val="22"/>
              </w:rPr>
              <w:t xml:space="preserve"> since </w:t>
            </w:r>
            <w:r w:rsidR="00605A85" w:rsidRPr="00EC1937">
              <w:rPr>
                <w:rFonts w:cs="Arial"/>
                <w:sz w:val="22"/>
                <w:szCs w:val="22"/>
              </w:rPr>
              <w:t>February, the</w:t>
            </w:r>
            <w:r w:rsidRPr="00EC1937">
              <w:rPr>
                <w:rFonts w:cs="Arial"/>
                <w:sz w:val="22"/>
                <w:szCs w:val="22"/>
              </w:rPr>
              <w:t xml:space="preserve"> Central Lancashire </w:t>
            </w:r>
            <w:r w:rsidR="00961A2D" w:rsidRPr="00EC1937">
              <w:rPr>
                <w:rFonts w:cs="Arial"/>
                <w:sz w:val="22"/>
                <w:szCs w:val="22"/>
              </w:rPr>
              <w:t xml:space="preserve">Local Plan </w:t>
            </w:r>
            <w:r w:rsidRPr="00EC1937">
              <w:rPr>
                <w:rFonts w:cs="Arial"/>
                <w:sz w:val="22"/>
                <w:szCs w:val="22"/>
              </w:rPr>
              <w:t xml:space="preserve">Team have been seeking provision of data that the LLFA hold, and it is only recently that they have provided an indication of when this will be made available. </w:t>
            </w:r>
          </w:p>
          <w:p w14:paraId="7DC1979D" w14:textId="77777777" w:rsidR="00EC1937" w:rsidRPr="00EC1937" w:rsidRDefault="00EC1937" w:rsidP="00EC1937">
            <w:pPr>
              <w:pStyle w:val="ListParagraph"/>
              <w:rPr>
                <w:rFonts w:cs="Arial"/>
                <w:sz w:val="22"/>
                <w:szCs w:val="22"/>
              </w:rPr>
            </w:pPr>
          </w:p>
          <w:p w14:paraId="2E536B3A" w14:textId="34A0ADE5" w:rsidR="00605A85" w:rsidRPr="00EC1937" w:rsidRDefault="00A264DE" w:rsidP="00A264DE">
            <w:pPr>
              <w:pStyle w:val="ListParagraph"/>
              <w:numPr>
                <w:ilvl w:val="0"/>
                <w:numId w:val="1"/>
              </w:numPr>
              <w:rPr>
                <w:rFonts w:cs="Arial"/>
                <w:sz w:val="22"/>
                <w:szCs w:val="22"/>
              </w:rPr>
            </w:pPr>
            <w:r w:rsidRPr="00EC1937">
              <w:rPr>
                <w:rFonts w:cs="Arial"/>
                <w:sz w:val="22"/>
                <w:szCs w:val="22"/>
              </w:rPr>
              <w:t xml:space="preserve">In </w:t>
            </w:r>
            <w:r w:rsidR="00605A85" w:rsidRPr="00EC1937">
              <w:rPr>
                <w:rFonts w:cs="Arial"/>
                <w:sz w:val="22"/>
                <w:szCs w:val="22"/>
              </w:rPr>
              <w:t>addition,</w:t>
            </w:r>
            <w:r w:rsidRPr="00EC1937">
              <w:rPr>
                <w:rFonts w:cs="Arial"/>
                <w:sz w:val="22"/>
                <w:szCs w:val="22"/>
              </w:rPr>
              <w:t xml:space="preserve"> some data is not in</w:t>
            </w:r>
            <w:r w:rsidR="005C1DC2" w:rsidRPr="00EC1937">
              <w:rPr>
                <w:rFonts w:cs="Arial"/>
                <w:sz w:val="22"/>
                <w:szCs w:val="22"/>
              </w:rPr>
              <w:t xml:space="preserve"> a suitable format for </w:t>
            </w:r>
            <w:r w:rsidR="00605A85" w:rsidRPr="00EC1937">
              <w:rPr>
                <w:rFonts w:cs="Arial"/>
                <w:sz w:val="22"/>
                <w:szCs w:val="22"/>
              </w:rPr>
              <w:t>sharing format</w:t>
            </w:r>
            <w:r w:rsidRPr="00EC1937">
              <w:rPr>
                <w:rFonts w:cs="Arial"/>
                <w:sz w:val="22"/>
                <w:szCs w:val="22"/>
              </w:rPr>
              <w:t xml:space="preserve"> so JBA are meeting with the LLFA to review this and ascertain what additional work will be involved to be able to use this data. </w:t>
            </w:r>
          </w:p>
          <w:p w14:paraId="5145511B" w14:textId="77777777" w:rsidR="00605A85" w:rsidRPr="00EC1937" w:rsidRDefault="00605A85" w:rsidP="00605A85">
            <w:pPr>
              <w:pStyle w:val="ListParagraph"/>
              <w:rPr>
                <w:rFonts w:cs="Arial"/>
                <w:sz w:val="22"/>
                <w:szCs w:val="22"/>
              </w:rPr>
            </w:pPr>
          </w:p>
          <w:p w14:paraId="2995CC67" w14:textId="40AFAB82" w:rsidR="00A264DE" w:rsidRPr="00EC1937" w:rsidRDefault="00A264DE" w:rsidP="00A264DE">
            <w:pPr>
              <w:pStyle w:val="ListParagraph"/>
              <w:numPr>
                <w:ilvl w:val="0"/>
                <w:numId w:val="1"/>
              </w:numPr>
              <w:rPr>
                <w:rFonts w:cs="Arial"/>
                <w:sz w:val="22"/>
                <w:szCs w:val="22"/>
              </w:rPr>
            </w:pPr>
            <w:r w:rsidRPr="00EC1937">
              <w:rPr>
                <w:rFonts w:cs="Arial"/>
                <w:sz w:val="22"/>
                <w:szCs w:val="22"/>
              </w:rPr>
              <w:t xml:space="preserve">Given the issues faced by the Central Lancashire Team in managing this project, we have prioritised communication with JBA so that they are kept abreast of the situation, and they have dealt with these matters in a professional and flexible manner. </w:t>
            </w:r>
          </w:p>
          <w:p w14:paraId="7E31A04A" w14:textId="098899C4" w:rsidR="002F5B13" w:rsidRPr="00EC1937" w:rsidRDefault="002F5B13" w:rsidP="002F5B13">
            <w:pPr>
              <w:jc w:val="left"/>
              <w:rPr>
                <w:rFonts w:eastAsiaTheme="minorHAnsi" w:cs="Arial"/>
                <w:b/>
                <w:sz w:val="22"/>
                <w:szCs w:val="22"/>
                <w:u w:val="single"/>
              </w:rPr>
            </w:pPr>
          </w:p>
          <w:p w14:paraId="2EEE4C9F" w14:textId="0A9123E7" w:rsidR="00043DF9" w:rsidRPr="00EC1937" w:rsidRDefault="00043DF9" w:rsidP="002F5B13">
            <w:pPr>
              <w:jc w:val="left"/>
              <w:rPr>
                <w:rFonts w:eastAsiaTheme="minorHAnsi" w:cs="Arial"/>
                <w:b/>
                <w:sz w:val="22"/>
                <w:szCs w:val="22"/>
              </w:rPr>
            </w:pPr>
            <w:r w:rsidRPr="00EC1937">
              <w:rPr>
                <w:rFonts w:eastAsiaTheme="minorHAnsi" w:cs="Arial"/>
                <w:b/>
                <w:sz w:val="22"/>
                <w:szCs w:val="22"/>
              </w:rPr>
              <w:t>OPEN SPACE RECREATION SPORTS ASSESSMENT</w:t>
            </w:r>
            <w:r w:rsidR="00696CE8" w:rsidRPr="00EC1937">
              <w:rPr>
                <w:rFonts w:eastAsiaTheme="minorHAnsi" w:cs="Arial"/>
                <w:b/>
                <w:sz w:val="22"/>
                <w:szCs w:val="22"/>
              </w:rPr>
              <w:t xml:space="preserve"> (OSSRA)</w:t>
            </w:r>
          </w:p>
          <w:p w14:paraId="5A01438A" w14:textId="7D88FA2B" w:rsidR="00043DF9" w:rsidRPr="00EC1937" w:rsidRDefault="00043DF9" w:rsidP="002F5B13">
            <w:pPr>
              <w:jc w:val="left"/>
              <w:rPr>
                <w:rFonts w:eastAsiaTheme="minorHAnsi" w:cs="Arial"/>
                <w:b/>
                <w:sz w:val="22"/>
                <w:szCs w:val="22"/>
                <w:u w:val="single"/>
              </w:rPr>
            </w:pPr>
          </w:p>
          <w:p w14:paraId="524FC51E" w14:textId="3959AA39" w:rsidR="00696CE8" w:rsidRPr="00EC1937" w:rsidRDefault="008D1F88" w:rsidP="00696CE8">
            <w:pPr>
              <w:pStyle w:val="ListParagraph"/>
              <w:numPr>
                <w:ilvl w:val="0"/>
                <w:numId w:val="1"/>
              </w:numPr>
              <w:rPr>
                <w:rFonts w:cs="Arial"/>
                <w:sz w:val="22"/>
                <w:szCs w:val="22"/>
                <w:lang w:eastAsia="en-GB"/>
              </w:rPr>
            </w:pPr>
            <w:r w:rsidRPr="00EC1937">
              <w:rPr>
                <w:rFonts w:cs="Arial"/>
                <w:sz w:val="22"/>
                <w:szCs w:val="22"/>
              </w:rPr>
              <w:t xml:space="preserve">The final separate </w:t>
            </w:r>
            <w:r w:rsidR="00696CE8" w:rsidRPr="00EC1937">
              <w:rPr>
                <w:rFonts w:cs="Arial"/>
                <w:sz w:val="22"/>
                <w:szCs w:val="22"/>
              </w:rPr>
              <w:t xml:space="preserve">evidence </w:t>
            </w:r>
            <w:r w:rsidRPr="00EC1937">
              <w:rPr>
                <w:rFonts w:cs="Arial"/>
                <w:sz w:val="22"/>
                <w:szCs w:val="22"/>
              </w:rPr>
              <w:t>documents (play pitches standards, playing pitch assessment, open space assessment and strategy action plan)</w:t>
            </w:r>
            <w:r w:rsidR="00696CE8" w:rsidRPr="00EC1937">
              <w:rPr>
                <w:rFonts w:cs="Arial"/>
                <w:sz w:val="22"/>
                <w:szCs w:val="22"/>
              </w:rPr>
              <w:t xml:space="preserve"> </w:t>
            </w:r>
            <w:r w:rsidR="00833C70" w:rsidRPr="00EC1937">
              <w:rPr>
                <w:rFonts w:cs="Arial"/>
                <w:sz w:val="22"/>
                <w:szCs w:val="22"/>
              </w:rPr>
              <w:t xml:space="preserve">are </w:t>
            </w:r>
            <w:r w:rsidR="00833C70" w:rsidRPr="00EC1937">
              <w:rPr>
                <w:rFonts w:cs="Arial"/>
                <w:color w:val="000000" w:themeColor="text1"/>
                <w:sz w:val="22"/>
                <w:szCs w:val="22"/>
              </w:rPr>
              <w:t>now</w:t>
            </w:r>
            <w:r w:rsidR="00A26A6F" w:rsidRPr="00EC1937">
              <w:rPr>
                <w:rFonts w:cs="Arial"/>
                <w:color w:val="000000" w:themeColor="text1"/>
                <w:sz w:val="22"/>
                <w:szCs w:val="22"/>
              </w:rPr>
              <w:t xml:space="preserve"> complete with a presentation of findings to be presented to the JAC</w:t>
            </w:r>
            <w:r w:rsidR="00696CE8" w:rsidRPr="00EC1937">
              <w:rPr>
                <w:rFonts w:cs="Arial"/>
                <w:color w:val="000000" w:themeColor="text1"/>
                <w:sz w:val="22"/>
                <w:szCs w:val="22"/>
              </w:rPr>
              <w:t xml:space="preserve"> by KKP the consultant. Following </w:t>
            </w:r>
            <w:r w:rsidR="00833C70" w:rsidRPr="00EC1937">
              <w:rPr>
                <w:rFonts w:cs="Arial"/>
                <w:color w:val="000000" w:themeColor="text1"/>
                <w:sz w:val="22"/>
                <w:szCs w:val="22"/>
              </w:rPr>
              <w:t>this, the</w:t>
            </w:r>
            <w:r w:rsidR="00696CE8" w:rsidRPr="00EC1937">
              <w:rPr>
                <w:rFonts w:cs="Arial"/>
                <w:color w:val="000000" w:themeColor="text1"/>
                <w:sz w:val="22"/>
                <w:szCs w:val="22"/>
              </w:rPr>
              <w:t xml:space="preserve"> </w:t>
            </w:r>
            <w:r w:rsidR="00833C70" w:rsidRPr="00EC1937">
              <w:rPr>
                <w:rFonts w:cs="Arial"/>
                <w:color w:val="000000" w:themeColor="text1"/>
                <w:sz w:val="22"/>
                <w:szCs w:val="22"/>
              </w:rPr>
              <w:t>documents will</w:t>
            </w:r>
            <w:r w:rsidR="00A26A6F" w:rsidRPr="00EC1937">
              <w:rPr>
                <w:rFonts w:cs="Arial"/>
                <w:color w:val="000000" w:themeColor="text1"/>
                <w:sz w:val="22"/>
                <w:szCs w:val="22"/>
              </w:rPr>
              <w:t xml:space="preserve"> be uploaded to all three council websites and the Central Lancashire Local Plan Website</w:t>
            </w:r>
            <w:r w:rsidR="00696CE8" w:rsidRPr="00EC1937">
              <w:rPr>
                <w:rFonts w:cs="Arial"/>
                <w:color w:val="000000" w:themeColor="text1"/>
                <w:sz w:val="22"/>
                <w:szCs w:val="22"/>
              </w:rPr>
              <w:t>.</w:t>
            </w:r>
          </w:p>
          <w:p w14:paraId="2210DD16" w14:textId="77777777" w:rsidR="00A26A6F" w:rsidRPr="00EC1937" w:rsidRDefault="00A26A6F" w:rsidP="00A26A6F">
            <w:pPr>
              <w:rPr>
                <w:rFonts w:cs="Arial"/>
                <w:sz w:val="22"/>
                <w:szCs w:val="22"/>
                <w:lang w:eastAsia="en-GB"/>
              </w:rPr>
            </w:pPr>
          </w:p>
          <w:p w14:paraId="0AF23930" w14:textId="31B55F59" w:rsidR="00043DF9" w:rsidRPr="00EC1937" w:rsidRDefault="008D1F88" w:rsidP="00696CE8">
            <w:pPr>
              <w:pStyle w:val="ListParagraph"/>
              <w:numPr>
                <w:ilvl w:val="0"/>
                <w:numId w:val="1"/>
              </w:numPr>
              <w:rPr>
                <w:rFonts w:cs="Arial"/>
                <w:sz w:val="22"/>
                <w:szCs w:val="22"/>
                <w:lang w:eastAsia="en-GB"/>
              </w:rPr>
            </w:pPr>
            <w:r w:rsidRPr="00EC1937">
              <w:rPr>
                <w:rFonts w:cs="Arial"/>
                <w:sz w:val="22"/>
                <w:szCs w:val="22"/>
              </w:rPr>
              <w:t xml:space="preserve"> </w:t>
            </w:r>
            <w:r w:rsidR="00696CE8" w:rsidRPr="00EC1937">
              <w:rPr>
                <w:rFonts w:cs="Arial"/>
                <w:sz w:val="22"/>
                <w:szCs w:val="22"/>
              </w:rPr>
              <w:t xml:space="preserve">As these are lengthy, technical documents, the three councils may wish to produce individual Open Space Recreation Strategy Summary documents with </w:t>
            </w:r>
            <w:r w:rsidR="00833C70" w:rsidRPr="00EC1937">
              <w:rPr>
                <w:rFonts w:cs="Arial"/>
                <w:sz w:val="22"/>
                <w:szCs w:val="22"/>
              </w:rPr>
              <w:t>action</w:t>
            </w:r>
            <w:r w:rsidR="00696CE8" w:rsidRPr="00EC1937">
              <w:rPr>
                <w:rFonts w:cs="Arial"/>
                <w:sz w:val="22"/>
                <w:szCs w:val="22"/>
              </w:rPr>
              <w:t xml:space="preserve"> plans included</w:t>
            </w:r>
            <w:r w:rsidR="006F19B6" w:rsidRPr="00EC1937">
              <w:rPr>
                <w:rFonts w:cs="Arial"/>
                <w:sz w:val="22"/>
                <w:szCs w:val="22"/>
              </w:rPr>
              <w:t xml:space="preserve">, </w:t>
            </w:r>
            <w:r w:rsidR="00696CE8" w:rsidRPr="00EC1937">
              <w:rPr>
                <w:rFonts w:cs="Arial"/>
                <w:sz w:val="22"/>
                <w:szCs w:val="22"/>
              </w:rPr>
              <w:t xml:space="preserve">detailing the investment and priority assigned to the suite of projects suggested in the evidence. </w:t>
            </w:r>
          </w:p>
          <w:p w14:paraId="4CC065F5" w14:textId="0C143688" w:rsidR="006F19B6" w:rsidRPr="00EC1937" w:rsidRDefault="006F19B6" w:rsidP="00CB3860">
            <w:pPr>
              <w:rPr>
                <w:rFonts w:cs="Arial"/>
                <w:sz w:val="22"/>
                <w:szCs w:val="22"/>
                <w:lang w:eastAsia="en-GB"/>
              </w:rPr>
            </w:pPr>
          </w:p>
          <w:p w14:paraId="7E7CC0AA" w14:textId="111AE334" w:rsidR="006F19B6" w:rsidRPr="00EC1937" w:rsidRDefault="006F19B6" w:rsidP="006F19B6">
            <w:pPr>
              <w:pStyle w:val="ListParagraph"/>
              <w:numPr>
                <w:ilvl w:val="0"/>
                <w:numId w:val="1"/>
              </w:numPr>
              <w:rPr>
                <w:rFonts w:cs="Arial"/>
                <w:sz w:val="22"/>
                <w:szCs w:val="22"/>
                <w:lang w:eastAsia="en-GB"/>
              </w:rPr>
            </w:pPr>
            <w:r w:rsidRPr="00EC1937">
              <w:rPr>
                <w:rFonts w:cs="Arial"/>
                <w:sz w:val="22"/>
                <w:szCs w:val="22"/>
                <w:lang w:eastAsia="en-GB"/>
              </w:rPr>
              <w:t xml:space="preserve">The schemes or projects included within this evidence will form part of the Infrastructure </w:t>
            </w:r>
            <w:r w:rsidR="004E4989" w:rsidRPr="00EC1937">
              <w:rPr>
                <w:rFonts w:cs="Arial"/>
                <w:sz w:val="22"/>
                <w:szCs w:val="22"/>
                <w:lang w:eastAsia="en-GB"/>
              </w:rPr>
              <w:t>Del</w:t>
            </w:r>
            <w:r w:rsidR="004E4989">
              <w:rPr>
                <w:rFonts w:cs="Arial"/>
                <w:sz w:val="22"/>
                <w:szCs w:val="22"/>
                <w:lang w:eastAsia="en-GB"/>
              </w:rPr>
              <w:t>ivery</w:t>
            </w:r>
            <w:r w:rsidRPr="00EC1937">
              <w:rPr>
                <w:rFonts w:cs="Arial"/>
                <w:sz w:val="22"/>
                <w:szCs w:val="22"/>
                <w:lang w:eastAsia="en-GB"/>
              </w:rPr>
              <w:t xml:space="preserve"> plan and</w:t>
            </w:r>
            <w:r w:rsidR="00BC66DE">
              <w:rPr>
                <w:rFonts w:cs="Arial"/>
                <w:sz w:val="22"/>
                <w:szCs w:val="22"/>
                <w:lang w:eastAsia="en-GB"/>
              </w:rPr>
              <w:t xml:space="preserve"> or/Infrastructure Delivery </w:t>
            </w:r>
            <w:r w:rsidRPr="00EC1937">
              <w:rPr>
                <w:rFonts w:cs="Arial"/>
                <w:sz w:val="22"/>
                <w:szCs w:val="22"/>
                <w:lang w:eastAsia="en-GB"/>
              </w:rPr>
              <w:t xml:space="preserve">scheme, which details </w:t>
            </w:r>
            <w:r w:rsidR="00E233A7" w:rsidRPr="00EC1937">
              <w:rPr>
                <w:rFonts w:cs="Arial"/>
                <w:sz w:val="22"/>
                <w:szCs w:val="22"/>
                <w:lang w:eastAsia="en-GB"/>
              </w:rPr>
              <w:t>all</w:t>
            </w:r>
            <w:r w:rsidRPr="00EC1937">
              <w:rPr>
                <w:rFonts w:cs="Arial"/>
                <w:sz w:val="22"/>
                <w:szCs w:val="22"/>
                <w:lang w:eastAsia="en-GB"/>
              </w:rPr>
              <w:t xml:space="preserve"> the required investment needed to support the delivery of the new plan. </w:t>
            </w:r>
          </w:p>
          <w:p w14:paraId="6146DED8" w14:textId="77777777" w:rsidR="006F19B6" w:rsidRPr="00EC1937" w:rsidRDefault="006F19B6" w:rsidP="006F19B6">
            <w:pPr>
              <w:rPr>
                <w:rFonts w:cs="Arial"/>
                <w:sz w:val="22"/>
                <w:szCs w:val="22"/>
                <w:lang w:eastAsia="en-GB"/>
              </w:rPr>
            </w:pPr>
          </w:p>
          <w:p w14:paraId="45B3846D" w14:textId="0811EA13" w:rsidR="00CB3860" w:rsidRPr="00EC1937" w:rsidRDefault="006F19B6" w:rsidP="00A264DE">
            <w:pPr>
              <w:jc w:val="left"/>
              <w:rPr>
                <w:rFonts w:eastAsiaTheme="minorHAnsi" w:cs="Arial"/>
                <w:b/>
                <w:sz w:val="22"/>
                <w:szCs w:val="22"/>
              </w:rPr>
            </w:pPr>
            <w:r w:rsidRPr="00EC1937">
              <w:rPr>
                <w:rFonts w:eastAsiaTheme="minorHAnsi" w:cs="Arial"/>
                <w:b/>
                <w:sz w:val="22"/>
                <w:szCs w:val="22"/>
              </w:rPr>
              <w:t xml:space="preserve">TRANSPORT </w:t>
            </w:r>
          </w:p>
          <w:p w14:paraId="12EC1CB2" w14:textId="77777777" w:rsidR="00CB3860" w:rsidRPr="00EC1937" w:rsidRDefault="00CB3860" w:rsidP="00CB3860">
            <w:pPr>
              <w:jc w:val="left"/>
              <w:rPr>
                <w:rFonts w:eastAsiaTheme="minorHAnsi" w:cs="Arial"/>
                <w:b/>
                <w:sz w:val="22"/>
                <w:szCs w:val="22"/>
                <w:u w:val="single"/>
              </w:rPr>
            </w:pPr>
          </w:p>
          <w:p w14:paraId="19F1857D" w14:textId="7938D994" w:rsidR="00CB3860" w:rsidRPr="00EC1937" w:rsidRDefault="006F19B6" w:rsidP="00CB3860">
            <w:pPr>
              <w:pStyle w:val="ListParagraph"/>
              <w:numPr>
                <w:ilvl w:val="0"/>
                <w:numId w:val="1"/>
              </w:numPr>
              <w:rPr>
                <w:rFonts w:cs="Arial"/>
                <w:sz w:val="22"/>
                <w:szCs w:val="22"/>
                <w:lang w:eastAsia="en-GB"/>
              </w:rPr>
            </w:pPr>
            <w:r w:rsidRPr="00EC1937">
              <w:rPr>
                <w:rFonts w:cs="Arial"/>
                <w:sz w:val="22"/>
                <w:szCs w:val="22"/>
                <w:lang w:eastAsia="en-GB"/>
              </w:rPr>
              <w:t xml:space="preserve">Chorley Council has commissioned WYG to produce a Highways and Transport Strategy which will supplement the refresh of a Central Lancashire Transport Masterplan which is being undertaken by LCC. </w:t>
            </w:r>
          </w:p>
          <w:p w14:paraId="14FFF5B5" w14:textId="77777777" w:rsidR="006F19B6" w:rsidRPr="00EC1937" w:rsidRDefault="006F19B6" w:rsidP="006F19B6">
            <w:pPr>
              <w:pStyle w:val="ListParagraph"/>
              <w:ind w:left="360"/>
              <w:rPr>
                <w:rFonts w:cs="Arial"/>
                <w:sz w:val="22"/>
                <w:szCs w:val="22"/>
                <w:lang w:eastAsia="en-GB"/>
              </w:rPr>
            </w:pPr>
          </w:p>
          <w:p w14:paraId="2F3817BA" w14:textId="488FC55A" w:rsidR="006F19B6" w:rsidRPr="00EC1937" w:rsidRDefault="006F19B6" w:rsidP="006F19B6">
            <w:pPr>
              <w:pStyle w:val="ListParagraph"/>
              <w:numPr>
                <w:ilvl w:val="0"/>
                <w:numId w:val="1"/>
              </w:numPr>
              <w:rPr>
                <w:rFonts w:cs="Arial"/>
                <w:sz w:val="22"/>
                <w:szCs w:val="22"/>
                <w:lang w:eastAsia="en-GB"/>
              </w:rPr>
            </w:pPr>
            <w:r w:rsidRPr="00EC1937">
              <w:rPr>
                <w:rFonts w:cs="Arial"/>
                <w:sz w:val="22"/>
                <w:szCs w:val="22"/>
                <w:lang w:eastAsia="en-GB"/>
              </w:rPr>
              <w:t xml:space="preserve">Again, the schemes or projects included within this evidence will form part of the Infrastructure Delivery plan and accompanying scheme, which details </w:t>
            </w:r>
            <w:r w:rsidR="00E233A7" w:rsidRPr="00EC1937">
              <w:rPr>
                <w:rFonts w:cs="Arial"/>
                <w:sz w:val="22"/>
                <w:szCs w:val="22"/>
                <w:lang w:eastAsia="en-GB"/>
              </w:rPr>
              <w:t>all</w:t>
            </w:r>
            <w:r w:rsidRPr="00EC1937">
              <w:rPr>
                <w:rFonts w:cs="Arial"/>
                <w:sz w:val="22"/>
                <w:szCs w:val="22"/>
                <w:lang w:eastAsia="en-GB"/>
              </w:rPr>
              <w:t xml:space="preserve"> the required investment needed to support the delivery of the new plan. </w:t>
            </w:r>
          </w:p>
          <w:p w14:paraId="4D6CCBAB" w14:textId="77777777" w:rsidR="00021B97" w:rsidRPr="00EC1937" w:rsidRDefault="00021B97" w:rsidP="00021B97">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p>
          <w:p w14:paraId="61CE44F2" w14:textId="77777777" w:rsidR="00021B97" w:rsidRPr="00EC1937" w:rsidRDefault="00021B97" w:rsidP="00021B97">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r w:rsidRPr="00EC1937">
              <w:rPr>
                <w:rFonts w:cs="Arial"/>
                <w:b/>
                <w:color w:val="000000" w:themeColor="text1"/>
                <w:sz w:val="22"/>
                <w:szCs w:val="22"/>
              </w:rPr>
              <w:t xml:space="preserve">CALL FOR SITES </w:t>
            </w:r>
          </w:p>
          <w:p w14:paraId="4137F259" w14:textId="77777777" w:rsidR="00021B97" w:rsidRPr="00EC1937" w:rsidRDefault="00021B97" w:rsidP="00021B97">
            <w:pPr>
              <w:pBdr>
                <w:top w:val="single" w:sz="2" w:space="1" w:color="FFFFFF"/>
                <w:left w:val="single" w:sz="2" w:space="0" w:color="FFFFFF"/>
                <w:bottom w:val="single" w:sz="2" w:space="2" w:color="FFFFFF"/>
                <w:right w:val="single" w:sz="2" w:space="4" w:color="FFFFFF"/>
              </w:pBdr>
              <w:tabs>
                <w:tab w:val="left" w:pos="851"/>
              </w:tabs>
              <w:rPr>
                <w:rFonts w:cs="Arial"/>
                <w:b/>
                <w:color w:val="000000" w:themeColor="text1"/>
                <w:sz w:val="22"/>
                <w:szCs w:val="22"/>
              </w:rPr>
            </w:pPr>
          </w:p>
          <w:p w14:paraId="1A591288" w14:textId="77777777" w:rsidR="00021B97" w:rsidRPr="00EC1937" w:rsidRDefault="00021B97" w:rsidP="00021B97">
            <w:pPr>
              <w:pStyle w:val="ListParagraph"/>
              <w:numPr>
                <w:ilvl w:val="0"/>
                <w:numId w:val="1"/>
              </w:numPr>
              <w:ind w:left="502"/>
              <w:rPr>
                <w:rFonts w:cs="Arial"/>
                <w:color w:val="000000" w:themeColor="text1"/>
                <w:sz w:val="22"/>
                <w:szCs w:val="22"/>
              </w:rPr>
            </w:pPr>
            <w:r w:rsidRPr="00EC1937">
              <w:rPr>
                <w:rFonts w:cs="Arial"/>
                <w:color w:val="000000" w:themeColor="text1"/>
                <w:sz w:val="22"/>
                <w:szCs w:val="22"/>
              </w:rPr>
              <w:t xml:space="preserve">The Call for Sites exercise as part of local plan-making is a public consultation to identify new land for development and the purpose is to identify potential sites that can be technically assessed for their suitability, availability and achievability (including viability) for housing and economic development to meet identified needs. Stakeholders (which can include landowners, agents, developers, members of the public and elected members) were able to submit sites for consideration and whilst intended to generate sites for future development, sites were submitted for protected uses. </w:t>
            </w:r>
          </w:p>
          <w:p w14:paraId="6628A8D8" w14:textId="77777777" w:rsidR="00021B97" w:rsidRPr="00EC1937" w:rsidRDefault="00021B97" w:rsidP="00021B97">
            <w:pPr>
              <w:pStyle w:val="ListParagraph"/>
              <w:ind w:left="502"/>
              <w:rPr>
                <w:rFonts w:cs="Arial"/>
                <w:color w:val="000000" w:themeColor="text1"/>
                <w:sz w:val="22"/>
                <w:szCs w:val="22"/>
              </w:rPr>
            </w:pPr>
          </w:p>
          <w:p w14:paraId="40E26493" w14:textId="77777777" w:rsidR="00021B97" w:rsidRPr="00EC1937" w:rsidRDefault="00021B97" w:rsidP="00021B97">
            <w:pPr>
              <w:pStyle w:val="ListParagraph"/>
              <w:numPr>
                <w:ilvl w:val="0"/>
                <w:numId w:val="1"/>
              </w:numPr>
              <w:ind w:left="502"/>
              <w:rPr>
                <w:rFonts w:cs="Arial"/>
                <w:b/>
                <w:color w:val="000000" w:themeColor="text1"/>
                <w:sz w:val="22"/>
                <w:szCs w:val="22"/>
              </w:rPr>
            </w:pPr>
            <w:r w:rsidRPr="00EC1937">
              <w:rPr>
                <w:rFonts w:cs="Arial"/>
                <w:color w:val="000000" w:themeColor="text1"/>
                <w:sz w:val="22"/>
                <w:szCs w:val="22"/>
              </w:rPr>
              <w:t xml:space="preserve">The first Call for Sites 1 process was undertaken between 17/08/2018 and Call for Sites 2 was undertaken between 28/01/2019 and 08/04/2019. All sites submitted will be technically assessed as part of a process referred to as the ‘Strategic Housing Land and Economic Land Assessment’ (SHELAA) and are currently being processed the by thee respective ‘home’ policy teams of Chorley. Preston and South Ribble. </w:t>
            </w:r>
          </w:p>
          <w:p w14:paraId="483929C7" w14:textId="77777777" w:rsidR="00021B97" w:rsidRPr="00EC1937" w:rsidRDefault="00021B97" w:rsidP="00021B97">
            <w:pPr>
              <w:pStyle w:val="ListParagraph"/>
              <w:rPr>
                <w:rFonts w:cs="Arial"/>
                <w:color w:val="000000" w:themeColor="text1"/>
                <w:sz w:val="22"/>
                <w:szCs w:val="22"/>
              </w:rPr>
            </w:pPr>
          </w:p>
          <w:p w14:paraId="540490FB" w14:textId="77777777" w:rsidR="00021B97" w:rsidRPr="00EC1937" w:rsidRDefault="00021B97" w:rsidP="00021B97">
            <w:pPr>
              <w:pStyle w:val="ListParagraph"/>
              <w:numPr>
                <w:ilvl w:val="0"/>
                <w:numId w:val="1"/>
              </w:numPr>
              <w:ind w:left="502"/>
              <w:rPr>
                <w:rStyle w:val="SubtleEmphasis"/>
                <w:rFonts w:cs="Arial"/>
                <w:i w:val="0"/>
                <w:iCs w:val="0"/>
                <w:color w:val="000000" w:themeColor="text1"/>
                <w:sz w:val="22"/>
                <w:szCs w:val="22"/>
              </w:rPr>
            </w:pPr>
            <w:r w:rsidRPr="00EC1937">
              <w:rPr>
                <w:rFonts w:cs="Arial"/>
                <w:color w:val="000000" w:themeColor="text1"/>
                <w:sz w:val="22"/>
                <w:szCs w:val="22"/>
              </w:rPr>
              <w:lastRenderedPageBreak/>
              <w:t xml:space="preserve">A combined total of 494 Call for Sites were submitted, of which, 194 are in Chorley, 137 are in Preston and 163 are in South Ribble. The tables below show </w:t>
            </w:r>
            <w:r w:rsidRPr="00EC1937">
              <w:rPr>
                <w:rFonts w:cs="Arial"/>
                <w:b/>
                <w:color w:val="000000" w:themeColor="text1"/>
                <w:sz w:val="22"/>
                <w:szCs w:val="22"/>
              </w:rPr>
              <w:t xml:space="preserve">the </w:t>
            </w:r>
            <w:r w:rsidRPr="00EC1937">
              <w:rPr>
                <w:rStyle w:val="SubtleEmphasis"/>
                <w:rFonts w:cs="Arial"/>
                <w:b/>
                <w:i w:val="0"/>
                <w:sz w:val="22"/>
                <w:szCs w:val="22"/>
              </w:rPr>
              <w:t>i</w:t>
            </w:r>
            <w:r w:rsidRPr="00EC1937">
              <w:rPr>
                <w:rStyle w:val="SubtleEmphasis"/>
                <w:rFonts w:cs="Arial"/>
                <w:b/>
                <w:i w:val="0"/>
                <w:color w:val="000000" w:themeColor="text1"/>
                <w:sz w:val="22"/>
                <w:szCs w:val="22"/>
              </w:rPr>
              <w:t>ndicative summary of housing and employment land proposals and developability based on raw submissions data*</w:t>
            </w:r>
          </w:p>
          <w:p w14:paraId="4E3AD748" w14:textId="77777777" w:rsidR="00021B97" w:rsidRPr="00EC1937" w:rsidRDefault="00021B97" w:rsidP="00021B97">
            <w:pPr>
              <w:pStyle w:val="ListParagraph"/>
              <w:rPr>
                <w:rStyle w:val="SubtleEmphasis"/>
                <w:rFonts w:cs="Arial"/>
                <w:i w:val="0"/>
                <w:iCs w:val="0"/>
                <w:color w:val="000000" w:themeColor="text1"/>
                <w:sz w:val="22"/>
                <w:szCs w:val="22"/>
              </w:rPr>
            </w:pPr>
          </w:p>
          <w:p w14:paraId="47B139EF" w14:textId="6BF772C6" w:rsidR="00021B97" w:rsidRPr="00B21D70" w:rsidRDefault="00021B97" w:rsidP="00410249">
            <w:pPr>
              <w:pStyle w:val="ListParagraph"/>
              <w:numPr>
                <w:ilvl w:val="0"/>
                <w:numId w:val="1"/>
              </w:numPr>
              <w:ind w:left="502"/>
              <w:rPr>
                <w:rStyle w:val="SubtleEmphasis"/>
                <w:rFonts w:cs="Arial"/>
                <w:i w:val="0"/>
                <w:iCs w:val="0"/>
                <w:color w:val="000000" w:themeColor="text1"/>
                <w:sz w:val="22"/>
                <w:szCs w:val="22"/>
              </w:rPr>
            </w:pPr>
            <w:r w:rsidRPr="00EC1937">
              <w:rPr>
                <w:rStyle w:val="SubtleEmphasis"/>
                <w:rFonts w:cs="Arial"/>
                <w:i w:val="0"/>
                <w:color w:val="000000" w:themeColor="text1"/>
                <w:sz w:val="22"/>
                <w:szCs w:val="22"/>
              </w:rPr>
              <w:t>This analysis is provided only for indicative reasons and is very heavily caveated as these sites have not yet been assessed for suitability, availability and deliverability, nor have they been subject to any appraisal for site constraints or viability. Therefore, no assumptions or conclusions can be taken from this data at such an early stage.</w:t>
            </w:r>
          </w:p>
          <w:p w14:paraId="51592A6D" w14:textId="77777777" w:rsidR="00B21D70" w:rsidRPr="00B21D70" w:rsidRDefault="00B21D70" w:rsidP="00B21D70">
            <w:pPr>
              <w:pStyle w:val="ListParagraph"/>
              <w:rPr>
                <w:rFonts w:cs="Arial"/>
                <w:color w:val="000000" w:themeColor="text1"/>
                <w:sz w:val="22"/>
                <w:szCs w:val="22"/>
              </w:rPr>
            </w:pPr>
          </w:p>
          <w:p w14:paraId="0EFB14C9" w14:textId="589506AE" w:rsidR="00B21D70" w:rsidRPr="00EC1937" w:rsidRDefault="00B21D70" w:rsidP="00410249">
            <w:pPr>
              <w:pStyle w:val="ListParagraph"/>
              <w:numPr>
                <w:ilvl w:val="0"/>
                <w:numId w:val="1"/>
              </w:numPr>
              <w:ind w:left="502"/>
              <w:rPr>
                <w:rFonts w:cs="Arial"/>
                <w:color w:val="000000" w:themeColor="text1"/>
                <w:sz w:val="22"/>
                <w:szCs w:val="22"/>
              </w:rPr>
            </w:pPr>
            <w:r>
              <w:rPr>
                <w:rFonts w:cs="Arial"/>
                <w:color w:val="000000" w:themeColor="text1"/>
                <w:sz w:val="22"/>
                <w:szCs w:val="22"/>
              </w:rPr>
              <w:t xml:space="preserve">This analysis is only provided to illustrate to JAC members the </w:t>
            </w:r>
            <w:r w:rsidR="008D4844">
              <w:rPr>
                <w:rFonts w:cs="Arial"/>
                <w:color w:val="000000" w:themeColor="text1"/>
                <w:sz w:val="22"/>
                <w:szCs w:val="22"/>
              </w:rPr>
              <w:t xml:space="preserve">range of sites submitted and is NOT an indication of the location, volume or use for sites to be allocated. </w:t>
            </w:r>
          </w:p>
          <w:p w14:paraId="40739134" w14:textId="77777777" w:rsidR="002F5B13" w:rsidRPr="00EC1937" w:rsidRDefault="002F5B13" w:rsidP="002F5B13">
            <w:pPr>
              <w:rPr>
                <w:rStyle w:val="SubtleEmphasis"/>
                <w:rFonts w:cs="Arial"/>
                <w:i w:val="0"/>
                <w:color w:val="000000" w:themeColor="text1"/>
                <w:sz w:val="22"/>
                <w:szCs w:val="22"/>
              </w:rPr>
            </w:pPr>
          </w:p>
          <w:p w14:paraId="2C964ECF" w14:textId="2125C57C" w:rsidR="002F5B13" w:rsidRPr="00EC1937" w:rsidRDefault="002F5B13" w:rsidP="002F5B13">
            <w:pPr>
              <w:pStyle w:val="Heading1"/>
              <w:rPr>
                <w:rStyle w:val="SubtleEmphasis"/>
                <w:rFonts w:ascii="Arial" w:hAnsi="Arial" w:cs="Arial"/>
                <w:b/>
                <w:i w:val="0"/>
                <w:color w:val="000000" w:themeColor="text1"/>
                <w:sz w:val="22"/>
                <w:szCs w:val="22"/>
              </w:rPr>
            </w:pPr>
            <w:r w:rsidRPr="00EC1937">
              <w:rPr>
                <w:rStyle w:val="SubtleEmphasis"/>
                <w:rFonts w:ascii="Arial" w:hAnsi="Arial" w:cs="Arial"/>
                <w:b/>
                <w:i w:val="0"/>
                <w:color w:val="000000" w:themeColor="text1"/>
                <w:sz w:val="22"/>
                <w:szCs w:val="22"/>
              </w:rPr>
              <w:t>Housing: Proposals and Potential</w:t>
            </w:r>
          </w:p>
          <w:p w14:paraId="4115EDAE" w14:textId="77777777" w:rsidR="00A23BA9" w:rsidRPr="00EC1937" w:rsidRDefault="00A23BA9" w:rsidP="00A23BA9">
            <w:pPr>
              <w:rPr>
                <w:rFonts w:cs="Arial"/>
                <w:b/>
                <w:sz w:val="22"/>
                <w:szCs w:val="22"/>
              </w:rPr>
            </w:pPr>
          </w:p>
          <w:tbl>
            <w:tblPr>
              <w:tblStyle w:val="GridTable1Light-Accent1"/>
              <w:tblW w:w="0" w:type="auto"/>
              <w:tblInd w:w="0" w:type="dxa"/>
              <w:tblLook w:val="04A0" w:firstRow="1" w:lastRow="0" w:firstColumn="1" w:lastColumn="0" w:noHBand="0" w:noVBand="1"/>
            </w:tblPr>
            <w:tblGrid>
              <w:gridCol w:w="1492"/>
              <w:gridCol w:w="1741"/>
              <w:gridCol w:w="2629"/>
              <w:gridCol w:w="1919"/>
              <w:gridCol w:w="1382"/>
            </w:tblGrid>
            <w:tr w:rsidR="002F5B13" w:rsidRPr="00EC1937" w14:paraId="62E6AD7B" w14:textId="77777777" w:rsidTr="00605A8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D5A29A7" w14:textId="77777777" w:rsidR="002F5B13" w:rsidRPr="00EC1937" w:rsidRDefault="002F5B13" w:rsidP="002F5B13">
                  <w:pPr>
                    <w:rPr>
                      <w:rStyle w:val="SubtleEmphasis"/>
                      <w:rFonts w:cs="Arial"/>
                      <w:i w:val="0"/>
                      <w:iCs w:val="0"/>
                      <w:color w:val="000000" w:themeColor="text1"/>
                      <w:sz w:val="22"/>
                    </w:rPr>
                  </w:pPr>
                </w:p>
              </w:tc>
              <w:tc>
                <w:tcPr>
                  <w:tcW w:w="198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26FCA5F7" w14:textId="77777777" w:rsidR="002F5B13" w:rsidRPr="00EC1937" w:rsidRDefault="002F5B13" w:rsidP="002F5B13">
                  <w:pPr>
                    <w:pStyle w:val="Heading2"/>
                    <w:outlineLvl w:val="1"/>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 xml:space="preserve">Gross GIS Corrected </w:t>
                  </w:r>
                  <w:r w:rsidRPr="00EC1937">
                    <w:rPr>
                      <w:rFonts w:cs="Arial"/>
                      <w:iCs/>
                      <w:color w:val="000000" w:themeColor="text1"/>
                      <w:sz w:val="22"/>
                    </w:rPr>
                    <w:br/>
                    <w:t>Site Sizes (Hectares)*</w:t>
                  </w:r>
                </w:p>
              </w:tc>
              <w:tc>
                <w:tcPr>
                  <w:tcW w:w="301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4577B458" w14:textId="77777777" w:rsidR="002F5B13" w:rsidRPr="00EC1937" w:rsidRDefault="002F5B13" w:rsidP="002F5B13">
                  <w:pPr>
                    <w:pStyle w:val="Heading2"/>
                    <w:outlineLvl w:val="1"/>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Est Net Developable Area for Housing (hectares)</w:t>
                  </w:r>
                </w:p>
              </w:tc>
              <w:tc>
                <w:tcPr>
                  <w:tcW w:w="2192"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C4E75FA" w14:textId="77777777" w:rsidR="002F5B13" w:rsidRPr="00EC1937" w:rsidRDefault="002F5B13" w:rsidP="002F5B13">
                  <w:pPr>
                    <w:pStyle w:val="Heading2"/>
                    <w:outlineLvl w:val="1"/>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Gross Sum of Residential (No. Dwellings)</w:t>
                  </w:r>
                </w:p>
              </w:tc>
              <w:tc>
                <w:tcPr>
                  <w:tcW w:w="1568"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0910C1C7" w14:textId="77777777" w:rsidR="002F5B13" w:rsidRPr="00EC1937" w:rsidRDefault="002F5B13" w:rsidP="002F5B13">
                  <w:pPr>
                    <w:pStyle w:val="Heading2"/>
                    <w:outlineLvl w:val="1"/>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Net Est. Housing Development Potential (No. Dwellings)</w:t>
                  </w:r>
                </w:p>
              </w:tc>
            </w:tr>
            <w:tr w:rsidR="002F5B13" w:rsidRPr="00EC1937" w14:paraId="05895393"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69A3EBF" w14:textId="77777777" w:rsidR="002F5B13" w:rsidRPr="00EC1937" w:rsidRDefault="002F5B13" w:rsidP="002F5B13">
                  <w:pPr>
                    <w:pStyle w:val="Heading2"/>
                    <w:outlineLvl w:val="1"/>
                    <w:rPr>
                      <w:rFonts w:cs="Arial"/>
                      <w:iCs/>
                      <w:color w:val="000000" w:themeColor="text1"/>
                      <w:sz w:val="22"/>
                    </w:rPr>
                  </w:pPr>
                  <w:r w:rsidRPr="00EC1937">
                    <w:rPr>
                      <w:rFonts w:cs="Arial"/>
                      <w:iCs/>
                      <w:color w:val="000000" w:themeColor="text1"/>
                      <w:sz w:val="22"/>
                    </w:rPr>
                    <w:t>CBC</w:t>
                  </w:r>
                </w:p>
              </w:tc>
              <w:tc>
                <w:tcPr>
                  <w:tcW w:w="19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665F0EB"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1,046.03</w:t>
                  </w:r>
                </w:p>
              </w:tc>
              <w:tc>
                <w:tcPr>
                  <w:tcW w:w="301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FD81E72"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530.47</w:t>
                  </w:r>
                </w:p>
              </w:tc>
              <w:tc>
                <w:tcPr>
                  <w:tcW w:w="219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114C24D"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21,818</w:t>
                  </w:r>
                </w:p>
              </w:tc>
              <w:tc>
                <w:tcPr>
                  <w:tcW w:w="156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46EB101"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18,567</w:t>
                  </w:r>
                </w:p>
              </w:tc>
            </w:tr>
            <w:tr w:rsidR="002F5B13" w:rsidRPr="00EC1937" w14:paraId="63AD0A75"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057EA93" w14:textId="77777777" w:rsidR="002F5B13" w:rsidRPr="00EC1937" w:rsidRDefault="002F5B13" w:rsidP="002F5B13">
                  <w:pPr>
                    <w:pStyle w:val="Heading2"/>
                    <w:outlineLvl w:val="1"/>
                    <w:rPr>
                      <w:rFonts w:cs="Arial"/>
                      <w:iCs/>
                      <w:color w:val="000000" w:themeColor="text1"/>
                      <w:sz w:val="22"/>
                    </w:rPr>
                  </w:pPr>
                  <w:r w:rsidRPr="00EC1937">
                    <w:rPr>
                      <w:rFonts w:cs="Arial"/>
                      <w:iCs/>
                      <w:color w:val="000000" w:themeColor="text1"/>
                      <w:sz w:val="22"/>
                    </w:rPr>
                    <w:t>PCC</w:t>
                  </w:r>
                </w:p>
              </w:tc>
              <w:tc>
                <w:tcPr>
                  <w:tcW w:w="19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7CEB768"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1,065.16</w:t>
                  </w:r>
                </w:p>
              </w:tc>
              <w:tc>
                <w:tcPr>
                  <w:tcW w:w="301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05EFEDA"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531.28</w:t>
                  </w:r>
                </w:p>
              </w:tc>
              <w:tc>
                <w:tcPr>
                  <w:tcW w:w="219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763D2E7"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19,679</w:t>
                  </w:r>
                </w:p>
              </w:tc>
              <w:tc>
                <w:tcPr>
                  <w:tcW w:w="156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B9EBC5E"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18,595</w:t>
                  </w:r>
                </w:p>
              </w:tc>
            </w:tr>
            <w:tr w:rsidR="002F5B13" w:rsidRPr="00EC1937" w14:paraId="66FA6AE8"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0772012" w14:textId="77777777" w:rsidR="002F5B13" w:rsidRPr="00EC1937" w:rsidRDefault="002F5B13" w:rsidP="002F5B13">
                  <w:pPr>
                    <w:pStyle w:val="Heading2"/>
                    <w:outlineLvl w:val="1"/>
                    <w:rPr>
                      <w:rFonts w:cs="Arial"/>
                      <w:iCs/>
                      <w:color w:val="000000" w:themeColor="text1"/>
                      <w:sz w:val="22"/>
                    </w:rPr>
                  </w:pPr>
                  <w:r w:rsidRPr="00EC1937">
                    <w:rPr>
                      <w:rFonts w:cs="Arial"/>
                      <w:iCs/>
                      <w:color w:val="000000" w:themeColor="text1"/>
                      <w:sz w:val="22"/>
                    </w:rPr>
                    <w:t>SRBC</w:t>
                  </w:r>
                </w:p>
              </w:tc>
              <w:tc>
                <w:tcPr>
                  <w:tcW w:w="19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51605C9"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1,303.05</w:t>
                  </w:r>
                </w:p>
              </w:tc>
              <w:tc>
                <w:tcPr>
                  <w:tcW w:w="301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8E8F983"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551.76</w:t>
                  </w:r>
                </w:p>
              </w:tc>
              <w:tc>
                <w:tcPr>
                  <w:tcW w:w="219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CB907F5"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25,364</w:t>
                  </w:r>
                </w:p>
              </w:tc>
              <w:tc>
                <w:tcPr>
                  <w:tcW w:w="156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1731506"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19,312</w:t>
                  </w:r>
                </w:p>
              </w:tc>
            </w:tr>
            <w:tr w:rsidR="002F5B13" w:rsidRPr="00EC1937" w14:paraId="4BCCE91A"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FE43D7E" w14:textId="77777777" w:rsidR="002F5B13" w:rsidRPr="00EC1937" w:rsidRDefault="002F5B13" w:rsidP="002F5B13">
                  <w:pPr>
                    <w:pStyle w:val="Heading2"/>
                    <w:outlineLvl w:val="1"/>
                    <w:rPr>
                      <w:rFonts w:cs="Arial"/>
                      <w:iCs/>
                      <w:color w:val="000000" w:themeColor="text1"/>
                      <w:sz w:val="22"/>
                    </w:rPr>
                  </w:pPr>
                  <w:r w:rsidRPr="00EC1937">
                    <w:rPr>
                      <w:rFonts w:cs="Arial"/>
                      <w:iCs/>
                      <w:color w:val="000000" w:themeColor="text1"/>
                      <w:sz w:val="22"/>
                    </w:rPr>
                    <w:t>Grand Total</w:t>
                  </w:r>
                </w:p>
              </w:tc>
              <w:tc>
                <w:tcPr>
                  <w:tcW w:w="19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217E43C"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bCs/>
                      <w:iCs/>
                      <w:color w:val="000000" w:themeColor="text1"/>
                      <w:sz w:val="22"/>
                    </w:rPr>
                  </w:pPr>
                  <w:r w:rsidRPr="00EC1937">
                    <w:rPr>
                      <w:rFonts w:cs="Arial"/>
                      <w:b w:val="0"/>
                      <w:bCs/>
                      <w:iCs/>
                      <w:color w:val="000000" w:themeColor="text1"/>
                      <w:sz w:val="22"/>
                    </w:rPr>
                    <w:t>34,14.24</w:t>
                  </w:r>
                </w:p>
              </w:tc>
              <w:tc>
                <w:tcPr>
                  <w:tcW w:w="301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99BCD5A"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b w:val="0"/>
                      <w:bCs/>
                      <w:iCs/>
                      <w:color w:val="000000" w:themeColor="text1"/>
                      <w:sz w:val="22"/>
                    </w:rPr>
                  </w:pPr>
                  <w:r w:rsidRPr="00EC1937">
                    <w:rPr>
                      <w:rFonts w:cs="Arial"/>
                      <w:b w:val="0"/>
                      <w:bCs/>
                      <w:iCs/>
                      <w:color w:val="000000" w:themeColor="text1"/>
                      <w:sz w:val="22"/>
                    </w:rPr>
                    <w:t>1,613.52</w:t>
                  </w:r>
                </w:p>
              </w:tc>
              <w:tc>
                <w:tcPr>
                  <w:tcW w:w="219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921E3B0"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b w:val="0"/>
                      <w:bCs/>
                      <w:iCs/>
                      <w:color w:val="000000" w:themeColor="text1"/>
                      <w:sz w:val="22"/>
                    </w:rPr>
                  </w:pPr>
                  <w:r w:rsidRPr="00EC1937">
                    <w:rPr>
                      <w:rFonts w:cs="Arial"/>
                      <w:b w:val="0"/>
                      <w:bCs/>
                      <w:iCs/>
                      <w:color w:val="000000" w:themeColor="text1"/>
                      <w:sz w:val="22"/>
                    </w:rPr>
                    <w:t>6,6861</w:t>
                  </w:r>
                </w:p>
              </w:tc>
              <w:tc>
                <w:tcPr>
                  <w:tcW w:w="156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428C9A8" w14:textId="77777777" w:rsidR="002F5B13" w:rsidRPr="00EC1937" w:rsidRDefault="002F5B13" w:rsidP="002F5B13">
                  <w:pPr>
                    <w:pStyle w:val="Heading2"/>
                    <w:outlineLvl w:val="1"/>
                    <w:cnfStyle w:val="000000000000" w:firstRow="0" w:lastRow="0" w:firstColumn="0" w:lastColumn="0" w:oddVBand="0" w:evenVBand="0" w:oddHBand="0" w:evenHBand="0" w:firstRowFirstColumn="0" w:firstRowLastColumn="0" w:lastRowFirstColumn="0" w:lastRowLastColumn="0"/>
                    <w:rPr>
                      <w:rFonts w:cs="Arial"/>
                      <w:b w:val="0"/>
                      <w:bCs/>
                      <w:iCs/>
                      <w:color w:val="000000" w:themeColor="text1"/>
                      <w:sz w:val="22"/>
                    </w:rPr>
                  </w:pPr>
                  <w:r w:rsidRPr="00EC1937">
                    <w:rPr>
                      <w:rFonts w:cs="Arial"/>
                      <w:b w:val="0"/>
                      <w:bCs/>
                      <w:iCs/>
                      <w:color w:val="000000" w:themeColor="text1"/>
                      <w:sz w:val="22"/>
                    </w:rPr>
                    <w:t>56,473</w:t>
                  </w:r>
                </w:p>
              </w:tc>
            </w:tr>
          </w:tbl>
          <w:p w14:paraId="08FCD465" w14:textId="77777777" w:rsidR="00A23BA9" w:rsidRPr="00EC1937" w:rsidRDefault="00A23BA9" w:rsidP="002F5B13">
            <w:pPr>
              <w:pStyle w:val="Heading2"/>
              <w:rPr>
                <w:rStyle w:val="SubtleEmphasis"/>
                <w:rFonts w:cs="Arial"/>
                <w:b w:val="0"/>
                <w:i w:val="0"/>
                <w:color w:val="000000" w:themeColor="text1"/>
                <w:sz w:val="22"/>
                <w:szCs w:val="22"/>
                <w:lang w:val="en-US"/>
              </w:rPr>
            </w:pPr>
          </w:p>
          <w:p w14:paraId="78090027" w14:textId="77777777" w:rsidR="00A23BA9" w:rsidRPr="00EC1937" w:rsidRDefault="00A23BA9" w:rsidP="002F5B13">
            <w:pPr>
              <w:pStyle w:val="Heading2"/>
              <w:rPr>
                <w:rStyle w:val="SubtleEmphasis"/>
                <w:rFonts w:cs="Arial"/>
                <w:i w:val="0"/>
                <w:color w:val="000000" w:themeColor="text1"/>
                <w:sz w:val="22"/>
                <w:szCs w:val="22"/>
                <w:lang w:val="en-US"/>
              </w:rPr>
            </w:pPr>
          </w:p>
          <w:p w14:paraId="125794B3" w14:textId="1E94D81B" w:rsidR="002F5B13" w:rsidRPr="00EC1937" w:rsidRDefault="002F5B13" w:rsidP="002F5B13">
            <w:pPr>
              <w:pStyle w:val="Heading2"/>
              <w:rPr>
                <w:rStyle w:val="SubtleEmphasis"/>
                <w:rFonts w:cs="Arial"/>
                <w:i w:val="0"/>
                <w:color w:val="000000" w:themeColor="text1"/>
                <w:sz w:val="22"/>
                <w:szCs w:val="22"/>
                <w:lang w:val="en-US"/>
              </w:rPr>
            </w:pPr>
            <w:r w:rsidRPr="00EC1937">
              <w:rPr>
                <w:rStyle w:val="SubtleEmphasis"/>
                <w:rFonts w:cs="Arial"/>
                <w:i w:val="0"/>
                <w:color w:val="000000" w:themeColor="text1"/>
                <w:sz w:val="22"/>
                <w:szCs w:val="22"/>
                <w:lang w:val="en-US"/>
              </w:rPr>
              <w:t>Constraint Applied: Within/on ‘Safeguarded Land’</w:t>
            </w:r>
          </w:p>
          <w:p w14:paraId="4F335927" w14:textId="77777777" w:rsidR="00A23BA9" w:rsidRPr="00EC1937" w:rsidRDefault="00A23BA9" w:rsidP="00A23BA9">
            <w:pPr>
              <w:rPr>
                <w:rFonts w:cs="Arial"/>
                <w:sz w:val="22"/>
                <w:szCs w:val="22"/>
                <w:lang w:val="en-US"/>
              </w:rPr>
            </w:pPr>
          </w:p>
          <w:tbl>
            <w:tblPr>
              <w:tblStyle w:val="GridTable1Light-Accent1"/>
              <w:tblW w:w="0" w:type="auto"/>
              <w:tblInd w:w="0" w:type="dxa"/>
              <w:tblLook w:val="04A0" w:firstRow="1" w:lastRow="0" w:firstColumn="1" w:lastColumn="0" w:noHBand="0" w:noVBand="1"/>
            </w:tblPr>
            <w:tblGrid>
              <w:gridCol w:w="1536"/>
              <w:gridCol w:w="1697"/>
              <w:gridCol w:w="1815"/>
              <w:gridCol w:w="1876"/>
              <w:gridCol w:w="2239"/>
            </w:tblGrid>
            <w:tr w:rsidR="002F5B13" w:rsidRPr="00EC1937" w14:paraId="1529E17B" w14:textId="77777777" w:rsidTr="00605A8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44F050DF" w14:textId="77777777" w:rsidR="002F5B13" w:rsidRPr="00EC1937" w:rsidRDefault="002F5B13" w:rsidP="002F5B13">
                  <w:pPr>
                    <w:rPr>
                      <w:rStyle w:val="SubtleEmphasis"/>
                      <w:rFonts w:cs="Arial"/>
                      <w:i w:val="0"/>
                      <w:color w:val="000000" w:themeColor="text1"/>
                      <w:sz w:val="22"/>
                      <w:lang w:val="en-US"/>
                    </w:rPr>
                  </w:pPr>
                </w:p>
              </w:tc>
              <w:tc>
                <w:tcPr>
                  <w:tcW w:w="1934"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25B5D8B"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 xml:space="preserve">Gross GIS Corrected </w:t>
                  </w:r>
                  <w:r w:rsidRPr="00EC1937">
                    <w:rPr>
                      <w:rFonts w:cs="Arial"/>
                      <w:iCs/>
                      <w:color w:val="000000" w:themeColor="text1"/>
                      <w:sz w:val="22"/>
                    </w:rPr>
                    <w:br/>
                    <w:t>Site Sizes (Hectares)*</w:t>
                  </w:r>
                </w:p>
              </w:tc>
              <w:tc>
                <w:tcPr>
                  <w:tcW w:w="2071"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62071DE"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Est Net Developable Area for Housing (hectares)</w:t>
                  </w:r>
                </w:p>
              </w:tc>
              <w:tc>
                <w:tcPr>
                  <w:tcW w:w="2141"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75BD195A"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Gross Sum of Residential (No. Dwellings)</w:t>
                  </w:r>
                </w:p>
              </w:tc>
              <w:tc>
                <w:tcPr>
                  <w:tcW w:w="2563"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72828B60"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Net Est. Housing Development Potential (No. Dwellings)</w:t>
                  </w:r>
                </w:p>
              </w:tc>
            </w:tr>
            <w:tr w:rsidR="002F5B13" w:rsidRPr="00EC1937" w14:paraId="572F9A4D"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2BBEC0D" w14:textId="77777777" w:rsidR="002F5B13" w:rsidRPr="00EC1937" w:rsidRDefault="002F5B13" w:rsidP="002F5B13">
                  <w:pPr>
                    <w:rPr>
                      <w:rFonts w:cs="Arial"/>
                      <w:iCs/>
                      <w:color w:val="000000" w:themeColor="text1"/>
                      <w:sz w:val="22"/>
                    </w:rPr>
                  </w:pPr>
                  <w:r w:rsidRPr="00EC1937">
                    <w:rPr>
                      <w:rFonts w:cs="Arial"/>
                      <w:iCs/>
                      <w:color w:val="000000" w:themeColor="text1"/>
                      <w:sz w:val="22"/>
                    </w:rPr>
                    <w:t>CBC</w:t>
                  </w:r>
                </w:p>
              </w:tc>
              <w:tc>
                <w:tcPr>
                  <w:tcW w:w="19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E5B635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123.60</w:t>
                  </w:r>
                </w:p>
              </w:tc>
              <w:tc>
                <w:tcPr>
                  <w:tcW w:w="20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2FE2E4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66.07</w:t>
                  </w:r>
                </w:p>
              </w:tc>
              <w:tc>
                <w:tcPr>
                  <w:tcW w:w="21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C41994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2,749</w:t>
                  </w:r>
                </w:p>
              </w:tc>
              <w:tc>
                <w:tcPr>
                  <w:tcW w:w="256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BA229E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2,312</w:t>
                  </w:r>
                </w:p>
              </w:tc>
            </w:tr>
            <w:tr w:rsidR="002F5B13" w:rsidRPr="00EC1937" w14:paraId="3506C5C8"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83F6C10" w14:textId="77777777" w:rsidR="002F5B13" w:rsidRPr="00EC1937" w:rsidRDefault="002F5B13" w:rsidP="002F5B13">
                  <w:pPr>
                    <w:rPr>
                      <w:rFonts w:cs="Arial"/>
                      <w:iCs/>
                      <w:color w:val="000000" w:themeColor="text1"/>
                      <w:sz w:val="22"/>
                    </w:rPr>
                  </w:pPr>
                  <w:r w:rsidRPr="00EC1937">
                    <w:rPr>
                      <w:rFonts w:cs="Arial"/>
                      <w:iCs/>
                      <w:color w:val="000000" w:themeColor="text1"/>
                      <w:sz w:val="22"/>
                    </w:rPr>
                    <w:t>PCC</w:t>
                  </w:r>
                </w:p>
              </w:tc>
              <w:tc>
                <w:tcPr>
                  <w:tcW w:w="19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42197D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0.90</w:t>
                  </w:r>
                </w:p>
              </w:tc>
              <w:tc>
                <w:tcPr>
                  <w:tcW w:w="20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7CA56B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p>
              </w:tc>
              <w:tc>
                <w:tcPr>
                  <w:tcW w:w="21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86D74E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256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A29EA1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7CFDEE70"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FDE5781" w14:textId="77777777" w:rsidR="002F5B13" w:rsidRPr="00EC1937" w:rsidRDefault="002F5B13" w:rsidP="002F5B13">
                  <w:pPr>
                    <w:rPr>
                      <w:rFonts w:cs="Arial"/>
                      <w:iCs/>
                      <w:color w:val="000000" w:themeColor="text1"/>
                      <w:sz w:val="22"/>
                    </w:rPr>
                  </w:pPr>
                  <w:r w:rsidRPr="00EC1937">
                    <w:rPr>
                      <w:rFonts w:cs="Arial"/>
                      <w:iCs/>
                      <w:color w:val="000000" w:themeColor="text1"/>
                      <w:sz w:val="22"/>
                    </w:rPr>
                    <w:t>SRBC</w:t>
                  </w:r>
                </w:p>
              </w:tc>
              <w:tc>
                <w:tcPr>
                  <w:tcW w:w="19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FCFE58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273.85</w:t>
                  </w:r>
                </w:p>
              </w:tc>
              <w:tc>
                <w:tcPr>
                  <w:tcW w:w="20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5A4401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142.93</w:t>
                  </w:r>
                </w:p>
              </w:tc>
              <w:tc>
                <w:tcPr>
                  <w:tcW w:w="21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93B44B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5,681</w:t>
                  </w:r>
                </w:p>
              </w:tc>
              <w:tc>
                <w:tcPr>
                  <w:tcW w:w="256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1C7E73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5,003</w:t>
                  </w:r>
                </w:p>
              </w:tc>
            </w:tr>
            <w:tr w:rsidR="002F5B13" w:rsidRPr="00EC1937" w14:paraId="593B737A"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4B12723" w14:textId="77777777" w:rsidR="002F5B13" w:rsidRPr="00EC1937" w:rsidRDefault="002F5B13" w:rsidP="002F5B13">
                  <w:pPr>
                    <w:rPr>
                      <w:rFonts w:cs="Arial"/>
                      <w:iCs/>
                      <w:color w:val="000000" w:themeColor="text1"/>
                      <w:sz w:val="22"/>
                    </w:rPr>
                  </w:pPr>
                  <w:r w:rsidRPr="00EC1937">
                    <w:rPr>
                      <w:rFonts w:cs="Arial"/>
                      <w:iCs/>
                      <w:color w:val="000000" w:themeColor="text1"/>
                      <w:sz w:val="22"/>
                    </w:rPr>
                    <w:t>Grand Total</w:t>
                  </w:r>
                </w:p>
              </w:tc>
              <w:tc>
                <w:tcPr>
                  <w:tcW w:w="19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B374BA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398.35</w:t>
                  </w:r>
                </w:p>
              </w:tc>
              <w:tc>
                <w:tcPr>
                  <w:tcW w:w="207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35DE24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209.00</w:t>
                  </w:r>
                </w:p>
              </w:tc>
              <w:tc>
                <w:tcPr>
                  <w:tcW w:w="21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3BF198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8,430</w:t>
                  </w:r>
                </w:p>
              </w:tc>
              <w:tc>
                <w:tcPr>
                  <w:tcW w:w="256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5445345"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7,315</w:t>
                  </w:r>
                </w:p>
              </w:tc>
            </w:tr>
          </w:tbl>
          <w:p w14:paraId="798BEFFA" w14:textId="682E3174" w:rsidR="00A23BA9" w:rsidRDefault="00A23BA9" w:rsidP="002F5B13">
            <w:pPr>
              <w:pStyle w:val="Heading2"/>
              <w:rPr>
                <w:rStyle w:val="SubtleEmphasis"/>
                <w:rFonts w:cs="Arial"/>
                <w:i w:val="0"/>
                <w:color w:val="000000" w:themeColor="text1"/>
                <w:sz w:val="22"/>
                <w:szCs w:val="22"/>
                <w:lang w:val="en-US"/>
              </w:rPr>
            </w:pPr>
          </w:p>
          <w:p w14:paraId="4F2C0CBA" w14:textId="67F11063" w:rsidR="008D4844" w:rsidRDefault="008D4844" w:rsidP="008D4844">
            <w:pPr>
              <w:rPr>
                <w:lang w:val="en-US"/>
              </w:rPr>
            </w:pPr>
          </w:p>
          <w:p w14:paraId="260E977C" w14:textId="18D62AA5" w:rsidR="008D4844" w:rsidRDefault="008D4844" w:rsidP="008D4844">
            <w:pPr>
              <w:rPr>
                <w:lang w:val="en-US"/>
              </w:rPr>
            </w:pPr>
          </w:p>
          <w:p w14:paraId="6B2EB110" w14:textId="794BAAB2" w:rsidR="008D4844" w:rsidRDefault="008D4844" w:rsidP="008D4844">
            <w:pPr>
              <w:rPr>
                <w:lang w:val="en-US"/>
              </w:rPr>
            </w:pPr>
          </w:p>
          <w:p w14:paraId="66E0607A" w14:textId="48E2253A" w:rsidR="008D4844" w:rsidRDefault="008D4844" w:rsidP="008D4844">
            <w:pPr>
              <w:rPr>
                <w:lang w:val="en-US"/>
              </w:rPr>
            </w:pPr>
          </w:p>
          <w:p w14:paraId="26BAF40B" w14:textId="6D3118E5" w:rsidR="008D4844" w:rsidRDefault="008D4844" w:rsidP="008D4844">
            <w:pPr>
              <w:rPr>
                <w:lang w:val="en-US"/>
              </w:rPr>
            </w:pPr>
          </w:p>
          <w:p w14:paraId="0F94ED4D" w14:textId="5F6049DC" w:rsidR="008D4844" w:rsidRDefault="008D4844" w:rsidP="008D4844">
            <w:pPr>
              <w:rPr>
                <w:lang w:val="en-US"/>
              </w:rPr>
            </w:pPr>
          </w:p>
          <w:p w14:paraId="0BFE612E" w14:textId="38E2D689" w:rsidR="008D4844" w:rsidRDefault="008D4844" w:rsidP="008D4844">
            <w:pPr>
              <w:rPr>
                <w:lang w:val="en-US"/>
              </w:rPr>
            </w:pPr>
          </w:p>
          <w:p w14:paraId="714D21C7" w14:textId="3715D198" w:rsidR="008D4844" w:rsidRDefault="008D4844" w:rsidP="008D4844">
            <w:pPr>
              <w:rPr>
                <w:lang w:val="en-US"/>
              </w:rPr>
            </w:pPr>
          </w:p>
          <w:p w14:paraId="5B168943" w14:textId="0A9CAF67" w:rsidR="008D4844" w:rsidRDefault="008D4844" w:rsidP="008D4844">
            <w:pPr>
              <w:rPr>
                <w:lang w:val="en-US"/>
              </w:rPr>
            </w:pPr>
          </w:p>
          <w:p w14:paraId="3801B0A6" w14:textId="33E2ACEB" w:rsidR="008D4844" w:rsidRDefault="008D4844" w:rsidP="008D4844">
            <w:pPr>
              <w:rPr>
                <w:lang w:val="en-US"/>
              </w:rPr>
            </w:pPr>
          </w:p>
          <w:p w14:paraId="1A107A55" w14:textId="0531C2E2" w:rsidR="008D4844" w:rsidRDefault="008D4844" w:rsidP="008D4844">
            <w:pPr>
              <w:rPr>
                <w:lang w:val="en-US"/>
              </w:rPr>
            </w:pPr>
          </w:p>
          <w:p w14:paraId="610E0DD3" w14:textId="73353A8E" w:rsidR="008D4844" w:rsidRDefault="008D4844" w:rsidP="008D4844">
            <w:pPr>
              <w:rPr>
                <w:lang w:val="en-US"/>
              </w:rPr>
            </w:pPr>
          </w:p>
          <w:p w14:paraId="5C1450CC" w14:textId="126C7BA7" w:rsidR="008D4844" w:rsidRDefault="008D4844" w:rsidP="008D4844">
            <w:pPr>
              <w:rPr>
                <w:lang w:val="en-US"/>
              </w:rPr>
            </w:pPr>
          </w:p>
          <w:p w14:paraId="66D06B77" w14:textId="77777777" w:rsidR="008D4844" w:rsidRPr="008D4844" w:rsidRDefault="008D4844" w:rsidP="008D4844">
            <w:pPr>
              <w:rPr>
                <w:lang w:val="en-US"/>
              </w:rPr>
            </w:pPr>
          </w:p>
          <w:p w14:paraId="06F1B5DD" w14:textId="77777777" w:rsidR="00A23BA9" w:rsidRPr="00EC1937" w:rsidRDefault="00A23BA9" w:rsidP="002F5B13">
            <w:pPr>
              <w:pStyle w:val="Heading2"/>
              <w:rPr>
                <w:rStyle w:val="SubtleEmphasis"/>
                <w:rFonts w:cs="Arial"/>
                <w:i w:val="0"/>
                <w:color w:val="000000" w:themeColor="text1"/>
                <w:sz w:val="22"/>
                <w:szCs w:val="22"/>
                <w:lang w:val="en-US"/>
              </w:rPr>
            </w:pPr>
          </w:p>
          <w:p w14:paraId="58A5F1AA" w14:textId="362D71C3" w:rsidR="002F5B13" w:rsidRPr="00EC1937" w:rsidRDefault="002F5B13" w:rsidP="002F5B13">
            <w:pPr>
              <w:pStyle w:val="Heading2"/>
              <w:rPr>
                <w:rStyle w:val="SubtleEmphasis"/>
                <w:rFonts w:cs="Arial"/>
                <w:i w:val="0"/>
                <w:color w:val="000000" w:themeColor="text1"/>
                <w:sz w:val="22"/>
                <w:szCs w:val="22"/>
                <w:lang w:val="en-US"/>
              </w:rPr>
            </w:pPr>
            <w:r w:rsidRPr="00EC1937">
              <w:rPr>
                <w:rStyle w:val="SubtleEmphasis"/>
                <w:rFonts w:cs="Arial"/>
                <w:i w:val="0"/>
                <w:color w:val="000000" w:themeColor="text1"/>
                <w:sz w:val="22"/>
                <w:szCs w:val="22"/>
                <w:lang w:val="en-US"/>
              </w:rPr>
              <w:t>Constraint Applied: ‘Partially or Wholly on Greenbelt Land’</w:t>
            </w:r>
          </w:p>
          <w:p w14:paraId="087228D3" w14:textId="77777777" w:rsidR="00A23BA9" w:rsidRPr="00EC1937" w:rsidRDefault="00A23BA9" w:rsidP="00A23BA9">
            <w:pPr>
              <w:rPr>
                <w:rFonts w:cs="Arial"/>
                <w:sz w:val="22"/>
                <w:szCs w:val="22"/>
                <w:lang w:val="en-US"/>
              </w:rPr>
            </w:pPr>
          </w:p>
          <w:tbl>
            <w:tblPr>
              <w:tblStyle w:val="GridTable1Light-Accent1"/>
              <w:tblW w:w="0" w:type="auto"/>
              <w:tblInd w:w="0" w:type="dxa"/>
              <w:tblLook w:val="04A0" w:firstRow="1" w:lastRow="0" w:firstColumn="1" w:lastColumn="0" w:noHBand="0" w:noVBand="1"/>
            </w:tblPr>
            <w:tblGrid>
              <w:gridCol w:w="1537"/>
              <w:gridCol w:w="1624"/>
              <w:gridCol w:w="1888"/>
              <w:gridCol w:w="1875"/>
              <w:gridCol w:w="2239"/>
            </w:tblGrid>
            <w:tr w:rsidR="002F5B13" w:rsidRPr="00EC1937" w14:paraId="16CACFDC" w14:textId="77777777" w:rsidTr="00605A8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7134E7A3" w14:textId="77777777" w:rsidR="002F5B13" w:rsidRPr="00EC1937" w:rsidRDefault="002F5B13" w:rsidP="002F5B13">
                  <w:pPr>
                    <w:rPr>
                      <w:rStyle w:val="SubtleEmphasis"/>
                      <w:rFonts w:cs="Arial"/>
                      <w:i w:val="0"/>
                      <w:color w:val="000000" w:themeColor="text1"/>
                      <w:sz w:val="22"/>
                      <w:lang w:val="en-US"/>
                    </w:rPr>
                  </w:pPr>
                </w:p>
              </w:tc>
              <w:tc>
                <w:tcPr>
                  <w:tcW w:w="246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5A7531A"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 xml:space="preserve">Gross GIS Corrected </w:t>
                  </w:r>
                  <w:r w:rsidRPr="00EC1937">
                    <w:rPr>
                      <w:rFonts w:cs="Arial"/>
                      <w:iCs/>
                      <w:color w:val="000000" w:themeColor="text1"/>
                      <w:sz w:val="22"/>
                    </w:rPr>
                    <w:br/>
                    <w:t>Site Sizes (Hectares)*</w:t>
                  </w:r>
                </w:p>
              </w:tc>
              <w:tc>
                <w:tcPr>
                  <w:tcW w:w="288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4F2BBBB9"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Est Net Developable Area for Housing (hectares)</w:t>
                  </w:r>
                </w:p>
              </w:tc>
              <w:tc>
                <w:tcPr>
                  <w:tcW w:w="286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BCD99A6"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Gross Sum of Residential (No. Dwellings)</w:t>
                  </w:r>
                </w:p>
              </w:tc>
              <w:tc>
                <w:tcPr>
                  <w:tcW w:w="344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798C4F4A"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Net Est. Housing Development Potential (No. Dwellings)</w:t>
                  </w:r>
                </w:p>
              </w:tc>
            </w:tr>
            <w:tr w:rsidR="002F5B13" w:rsidRPr="00EC1937" w14:paraId="3B1710B1"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D94D5B4" w14:textId="77777777" w:rsidR="002F5B13" w:rsidRPr="00EC1937" w:rsidRDefault="002F5B13" w:rsidP="002F5B13">
                  <w:pPr>
                    <w:rPr>
                      <w:rFonts w:cs="Arial"/>
                      <w:iCs/>
                      <w:color w:val="000000" w:themeColor="text1"/>
                      <w:sz w:val="22"/>
                    </w:rPr>
                  </w:pPr>
                  <w:r w:rsidRPr="00EC1937">
                    <w:rPr>
                      <w:rFonts w:cs="Arial"/>
                      <w:iCs/>
                      <w:color w:val="000000" w:themeColor="text1"/>
                      <w:sz w:val="22"/>
                    </w:rPr>
                    <w:t>CBC</w:t>
                  </w:r>
                </w:p>
              </w:tc>
              <w:tc>
                <w:tcPr>
                  <w:tcW w:w="24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1D74FB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755.37</w:t>
                  </w:r>
                </w:p>
              </w:tc>
              <w:tc>
                <w:tcPr>
                  <w:tcW w:w="28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C1A7DC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384.67</w:t>
                  </w:r>
                </w:p>
              </w:tc>
              <w:tc>
                <w:tcPr>
                  <w:tcW w:w="28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F58ABD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16,642</w:t>
                  </w:r>
                </w:p>
              </w:tc>
              <w:tc>
                <w:tcPr>
                  <w:tcW w:w="344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7C426F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13,463</w:t>
                  </w:r>
                </w:p>
              </w:tc>
            </w:tr>
            <w:tr w:rsidR="002F5B13" w:rsidRPr="00EC1937" w14:paraId="65708AA5"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EE83D06" w14:textId="77777777" w:rsidR="002F5B13" w:rsidRPr="00EC1937" w:rsidRDefault="002F5B13" w:rsidP="002F5B13">
                  <w:pPr>
                    <w:rPr>
                      <w:rFonts w:cs="Arial"/>
                      <w:iCs/>
                      <w:color w:val="000000" w:themeColor="text1"/>
                      <w:sz w:val="22"/>
                    </w:rPr>
                  </w:pPr>
                  <w:r w:rsidRPr="00EC1937">
                    <w:rPr>
                      <w:rFonts w:cs="Arial"/>
                      <w:iCs/>
                      <w:color w:val="000000" w:themeColor="text1"/>
                      <w:sz w:val="22"/>
                    </w:rPr>
                    <w:t>PCC</w:t>
                  </w:r>
                </w:p>
              </w:tc>
              <w:tc>
                <w:tcPr>
                  <w:tcW w:w="24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E7A108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180.32</w:t>
                  </w:r>
                </w:p>
              </w:tc>
              <w:tc>
                <w:tcPr>
                  <w:tcW w:w="28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BD8127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89.13</w:t>
                  </w:r>
                </w:p>
              </w:tc>
              <w:tc>
                <w:tcPr>
                  <w:tcW w:w="28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B49EEE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4,076</w:t>
                  </w:r>
                </w:p>
              </w:tc>
              <w:tc>
                <w:tcPr>
                  <w:tcW w:w="344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E5F9F5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3,120</w:t>
                  </w:r>
                </w:p>
              </w:tc>
            </w:tr>
            <w:tr w:rsidR="002F5B13" w:rsidRPr="00EC1937" w14:paraId="0D377014"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983C511" w14:textId="77777777" w:rsidR="002F5B13" w:rsidRPr="00EC1937" w:rsidRDefault="002F5B13" w:rsidP="002F5B13">
                  <w:pPr>
                    <w:rPr>
                      <w:rFonts w:cs="Arial"/>
                      <w:iCs/>
                      <w:color w:val="000000" w:themeColor="text1"/>
                      <w:sz w:val="22"/>
                    </w:rPr>
                  </w:pPr>
                  <w:r w:rsidRPr="00EC1937">
                    <w:rPr>
                      <w:rFonts w:cs="Arial"/>
                      <w:iCs/>
                      <w:color w:val="000000" w:themeColor="text1"/>
                      <w:sz w:val="22"/>
                    </w:rPr>
                    <w:t>SRBC</w:t>
                  </w:r>
                </w:p>
              </w:tc>
              <w:tc>
                <w:tcPr>
                  <w:tcW w:w="24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F2BF0F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823.88</w:t>
                  </w:r>
                </w:p>
              </w:tc>
              <w:tc>
                <w:tcPr>
                  <w:tcW w:w="28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3C7509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351.41</w:t>
                  </w:r>
                </w:p>
              </w:tc>
              <w:tc>
                <w:tcPr>
                  <w:tcW w:w="28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06BF1D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17,240</w:t>
                  </w:r>
                </w:p>
              </w:tc>
              <w:tc>
                <w:tcPr>
                  <w:tcW w:w="344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82ACE4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2"/>
                    </w:rPr>
                  </w:pPr>
                  <w:r w:rsidRPr="00EC1937">
                    <w:rPr>
                      <w:rFonts w:cs="Arial"/>
                      <w:iCs/>
                      <w:color w:val="000000" w:themeColor="text1"/>
                      <w:sz w:val="22"/>
                    </w:rPr>
                    <w:t>12,299</w:t>
                  </w:r>
                </w:p>
              </w:tc>
            </w:tr>
            <w:tr w:rsidR="002F5B13" w:rsidRPr="00EC1937" w14:paraId="204AFDB9"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2D3684A" w14:textId="77777777" w:rsidR="002F5B13" w:rsidRPr="00EC1937" w:rsidRDefault="002F5B13" w:rsidP="002F5B13">
                  <w:pPr>
                    <w:rPr>
                      <w:rFonts w:cs="Arial"/>
                      <w:iCs/>
                      <w:color w:val="000000" w:themeColor="text1"/>
                      <w:sz w:val="22"/>
                    </w:rPr>
                  </w:pPr>
                  <w:r w:rsidRPr="00EC1937">
                    <w:rPr>
                      <w:rFonts w:cs="Arial"/>
                      <w:iCs/>
                      <w:color w:val="000000" w:themeColor="text1"/>
                      <w:sz w:val="22"/>
                    </w:rPr>
                    <w:t>Grand Total</w:t>
                  </w:r>
                </w:p>
              </w:tc>
              <w:tc>
                <w:tcPr>
                  <w:tcW w:w="24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3549B2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1,759.56</w:t>
                  </w:r>
                </w:p>
              </w:tc>
              <w:tc>
                <w:tcPr>
                  <w:tcW w:w="28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FCFF5F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825.21</w:t>
                  </w:r>
                </w:p>
              </w:tc>
              <w:tc>
                <w:tcPr>
                  <w:tcW w:w="28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81BC85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37,958</w:t>
                  </w:r>
                </w:p>
              </w:tc>
              <w:tc>
                <w:tcPr>
                  <w:tcW w:w="344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CE09F4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iCs/>
                      <w:color w:val="000000" w:themeColor="text1"/>
                      <w:sz w:val="22"/>
                    </w:rPr>
                  </w:pPr>
                  <w:r w:rsidRPr="00EC1937">
                    <w:rPr>
                      <w:rFonts w:cs="Arial"/>
                      <w:b/>
                      <w:bCs/>
                      <w:iCs/>
                      <w:color w:val="000000" w:themeColor="text1"/>
                      <w:sz w:val="22"/>
                    </w:rPr>
                    <w:t>28,882</w:t>
                  </w:r>
                </w:p>
              </w:tc>
            </w:tr>
          </w:tbl>
          <w:p w14:paraId="68B74C15" w14:textId="77777777" w:rsidR="00EE0926" w:rsidRDefault="00EE0926" w:rsidP="002F5B13">
            <w:pPr>
              <w:pStyle w:val="Heading1"/>
              <w:rPr>
                <w:rStyle w:val="SubtleEmphasis"/>
                <w:rFonts w:ascii="Arial" w:hAnsi="Arial" w:cs="Arial"/>
                <w:b/>
                <w:i w:val="0"/>
                <w:color w:val="000000" w:themeColor="text1"/>
                <w:sz w:val="22"/>
                <w:szCs w:val="22"/>
              </w:rPr>
            </w:pPr>
          </w:p>
          <w:p w14:paraId="0FC93104" w14:textId="77777777" w:rsidR="00EE0926" w:rsidRDefault="00EE0926" w:rsidP="002F5B13">
            <w:pPr>
              <w:pStyle w:val="Heading1"/>
              <w:rPr>
                <w:rStyle w:val="SubtleEmphasis"/>
                <w:rFonts w:ascii="Arial" w:hAnsi="Arial" w:cs="Arial"/>
                <w:b/>
                <w:i w:val="0"/>
                <w:color w:val="000000" w:themeColor="text1"/>
                <w:sz w:val="22"/>
                <w:szCs w:val="22"/>
              </w:rPr>
            </w:pPr>
          </w:p>
          <w:p w14:paraId="1E7649B2" w14:textId="5AEEA1FC" w:rsidR="002F5B13" w:rsidRPr="00EC1937" w:rsidRDefault="002F5B13" w:rsidP="002F5B13">
            <w:pPr>
              <w:pStyle w:val="Heading1"/>
              <w:rPr>
                <w:rStyle w:val="SubtleEmphasis"/>
                <w:rFonts w:ascii="Arial" w:hAnsi="Arial" w:cs="Arial"/>
                <w:b/>
                <w:i w:val="0"/>
                <w:color w:val="000000" w:themeColor="text1"/>
                <w:sz w:val="22"/>
                <w:szCs w:val="22"/>
              </w:rPr>
            </w:pPr>
            <w:r w:rsidRPr="00EC1937">
              <w:rPr>
                <w:rStyle w:val="SubtleEmphasis"/>
                <w:rFonts w:ascii="Arial" w:hAnsi="Arial" w:cs="Arial"/>
                <w:b/>
                <w:i w:val="0"/>
                <w:color w:val="000000" w:themeColor="text1"/>
                <w:sz w:val="22"/>
                <w:szCs w:val="22"/>
              </w:rPr>
              <w:t>Employment: Proposals and Floorspace</w:t>
            </w:r>
          </w:p>
          <w:p w14:paraId="5A8B89AC" w14:textId="77777777" w:rsidR="00A23BA9" w:rsidRPr="00EC1937" w:rsidRDefault="00A23BA9" w:rsidP="00A23BA9">
            <w:pPr>
              <w:rPr>
                <w:rFonts w:cs="Arial"/>
                <w:sz w:val="22"/>
                <w:szCs w:val="22"/>
              </w:rPr>
            </w:pPr>
          </w:p>
          <w:tbl>
            <w:tblPr>
              <w:tblStyle w:val="GridTable1Light-Accent1"/>
              <w:tblW w:w="0" w:type="auto"/>
              <w:tblInd w:w="0" w:type="dxa"/>
              <w:tblLook w:val="04A0" w:firstRow="1" w:lastRow="0" w:firstColumn="1" w:lastColumn="0" w:noHBand="0" w:noVBand="1"/>
            </w:tblPr>
            <w:tblGrid>
              <w:gridCol w:w="1619"/>
              <w:gridCol w:w="1357"/>
              <w:gridCol w:w="1570"/>
              <w:gridCol w:w="1560"/>
              <w:gridCol w:w="1855"/>
              <w:gridCol w:w="1202"/>
            </w:tblGrid>
            <w:tr w:rsidR="002F5B13" w:rsidRPr="00EC1937" w14:paraId="7501D8F3" w14:textId="77777777" w:rsidTr="00605A85">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3AF5FC85" w14:textId="77777777" w:rsidR="002F5B13" w:rsidRPr="00EC1937" w:rsidRDefault="002F5B13" w:rsidP="002F5B13">
                  <w:pPr>
                    <w:rPr>
                      <w:rStyle w:val="SubtleEmphasis"/>
                      <w:rFonts w:cs="Arial"/>
                      <w:i w:val="0"/>
                      <w:iCs w:val="0"/>
                      <w:color w:val="000000" w:themeColor="text1"/>
                      <w:sz w:val="22"/>
                    </w:rPr>
                  </w:pPr>
                </w:p>
              </w:tc>
              <w:tc>
                <w:tcPr>
                  <w:tcW w:w="1573"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09E53F67"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Gross GIS Corrected</w:t>
                  </w:r>
                  <w:r w:rsidRPr="00EC1937">
                    <w:rPr>
                      <w:rFonts w:cs="Arial"/>
                      <w:color w:val="000000" w:themeColor="text1"/>
                      <w:sz w:val="22"/>
                    </w:rPr>
                    <w:br/>
                    <w:t xml:space="preserve"> Site Size (Hectares)*</w:t>
                  </w:r>
                </w:p>
              </w:tc>
              <w:tc>
                <w:tcPr>
                  <w:tcW w:w="1828"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3ABE1807"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Office R&amp;D/LI (B1) Floorspace (m2)</w:t>
                  </w:r>
                </w:p>
              </w:tc>
              <w:tc>
                <w:tcPr>
                  <w:tcW w:w="1816"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29AC9491"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General Industrial (B2) Floorspace (m2)</w:t>
                  </w:r>
                </w:p>
              </w:tc>
              <w:tc>
                <w:tcPr>
                  <w:tcW w:w="2167"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CCC5837" w14:textId="77C5961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Warehouse (B8</w:t>
                  </w:r>
                  <w:r w:rsidR="00605A85" w:rsidRPr="00EC1937">
                    <w:rPr>
                      <w:rFonts w:cs="Arial"/>
                      <w:color w:val="000000" w:themeColor="text1"/>
                      <w:sz w:val="22"/>
                    </w:rPr>
                    <w:t>) Floorspace</w:t>
                  </w:r>
                  <w:r w:rsidRPr="00EC1937">
                    <w:rPr>
                      <w:rFonts w:cs="Arial"/>
                      <w:color w:val="000000" w:themeColor="text1"/>
                      <w:sz w:val="22"/>
                    </w:rPr>
                    <w:t xml:space="preserve"> (m2)</w:t>
                  </w:r>
                </w:p>
              </w:tc>
              <w:tc>
                <w:tcPr>
                  <w:tcW w:w="1187"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26611225"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Retail Floorspace (m2)</w:t>
                  </w:r>
                </w:p>
              </w:tc>
            </w:tr>
            <w:tr w:rsidR="002F5B13" w:rsidRPr="00EC1937" w14:paraId="57B0BB3A"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2ECD55E" w14:textId="77777777" w:rsidR="002F5B13" w:rsidRPr="00EC1937" w:rsidRDefault="002F5B13" w:rsidP="002F5B13">
                  <w:pPr>
                    <w:rPr>
                      <w:rFonts w:cs="Arial"/>
                      <w:color w:val="000000" w:themeColor="text1"/>
                      <w:sz w:val="22"/>
                    </w:rPr>
                  </w:pPr>
                  <w:r w:rsidRPr="00EC1937">
                    <w:rPr>
                      <w:rFonts w:cs="Arial"/>
                      <w:color w:val="000000" w:themeColor="text1"/>
                      <w:sz w:val="22"/>
                    </w:rPr>
                    <w:t>CBC</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2C250FD"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1,046.03</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3A9CB95"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180,600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3F3EC8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194,000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FC5788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162,500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5AE384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86,600</w:t>
                  </w:r>
                </w:p>
              </w:tc>
            </w:tr>
            <w:tr w:rsidR="002F5B13" w:rsidRPr="00EC1937" w14:paraId="18F71EB9"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20B80F4" w14:textId="77777777" w:rsidR="002F5B13" w:rsidRPr="00EC1937" w:rsidRDefault="002F5B13" w:rsidP="002F5B13">
                  <w:pPr>
                    <w:rPr>
                      <w:rFonts w:cs="Arial"/>
                      <w:color w:val="000000" w:themeColor="text1"/>
                      <w:sz w:val="22"/>
                    </w:rPr>
                  </w:pPr>
                  <w:r w:rsidRPr="00EC1937">
                    <w:rPr>
                      <w:rFonts w:cs="Arial"/>
                      <w:color w:val="000000" w:themeColor="text1"/>
                      <w:sz w:val="22"/>
                    </w:rPr>
                    <w:t>Employment</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E5EE52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11.73</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98A2B8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4B5184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271897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37000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8B3E8C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r>
            <w:tr w:rsidR="002F5B13" w:rsidRPr="00EC1937" w14:paraId="409AABCA"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B626AA9" w14:textId="77777777" w:rsidR="002F5B13" w:rsidRPr="00EC1937" w:rsidRDefault="002F5B13" w:rsidP="002F5B13">
                  <w:pPr>
                    <w:rPr>
                      <w:rFonts w:cs="Arial"/>
                      <w:b w:val="0"/>
                      <w:bCs w:val="0"/>
                      <w:color w:val="000000" w:themeColor="text1"/>
                      <w:sz w:val="22"/>
                    </w:rPr>
                  </w:pPr>
                  <w:r w:rsidRPr="00EC1937">
                    <w:rPr>
                      <w:rFonts w:cs="Arial"/>
                      <w:color w:val="000000" w:themeColor="text1"/>
                      <w:sz w:val="22"/>
                    </w:rPr>
                    <w:t>Housing</w:t>
                  </w:r>
                </w:p>
                <w:p w14:paraId="69A2ABDC" w14:textId="77777777" w:rsidR="002F5B13" w:rsidRPr="00EC1937" w:rsidRDefault="002F5B13" w:rsidP="002F5B13">
                  <w:pPr>
                    <w:rPr>
                      <w:rFonts w:cs="Arial"/>
                      <w:b w:val="0"/>
                      <w:color w:val="000000" w:themeColor="text1"/>
                      <w:sz w:val="22"/>
                    </w:rPr>
                  </w:pPr>
                  <w:r w:rsidRPr="00EC1937">
                    <w:rPr>
                      <w:rFonts w:cs="Arial"/>
                      <w:b w:val="0"/>
                      <w:color w:val="000000" w:themeColor="text1"/>
                      <w:sz w:val="22"/>
                    </w:rPr>
                    <w:t>Housing with retail</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0A8084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837.25</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952D1E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94B6EA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DE0A71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tcPr>
                <w:p w14:paraId="3E767CC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p w14:paraId="629D1E2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10,600</w:t>
                  </w:r>
                </w:p>
              </w:tc>
            </w:tr>
            <w:tr w:rsidR="002F5B13" w:rsidRPr="00EC1937" w14:paraId="16B19746"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8BD3443" w14:textId="77777777" w:rsidR="002F5B13" w:rsidRPr="00EC1937" w:rsidRDefault="002F5B13" w:rsidP="002F5B13">
                  <w:pPr>
                    <w:rPr>
                      <w:rFonts w:cs="Arial"/>
                      <w:color w:val="000000" w:themeColor="text1"/>
                      <w:sz w:val="22"/>
                    </w:rPr>
                  </w:pPr>
                  <w:r w:rsidRPr="00EC1937">
                    <w:rPr>
                      <w:rFonts w:cs="Arial"/>
                      <w:color w:val="000000" w:themeColor="text1"/>
                      <w:sz w:val="22"/>
                    </w:rPr>
                    <w:t>Mixed Use: H&amp;E</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D8A939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102.41</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84C792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63,600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8D14FC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58,000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0ED262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29,500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4DDA93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r>
            <w:tr w:rsidR="002F5B13" w:rsidRPr="00EC1937" w14:paraId="0AEDFAB2"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605084F" w14:textId="77777777" w:rsidR="002F5B13" w:rsidRPr="00EC1937" w:rsidRDefault="002F5B13" w:rsidP="002F5B13">
                  <w:pPr>
                    <w:rPr>
                      <w:rFonts w:cs="Arial"/>
                      <w:color w:val="000000" w:themeColor="text1"/>
                      <w:sz w:val="22"/>
                    </w:rPr>
                  </w:pPr>
                  <w:r w:rsidRPr="00EC1937">
                    <w:rPr>
                      <w:rFonts w:cs="Arial"/>
                      <w:color w:val="000000" w:themeColor="text1"/>
                      <w:sz w:val="22"/>
                    </w:rPr>
                    <w:t>Mixed Use: O</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A1C9B2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66.75</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679534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117,000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77CAD7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136,000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517DD4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96,000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F90392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76,000</w:t>
                  </w:r>
                </w:p>
              </w:tc>
            </w:tr>
            <w:tr w:rsidR="002F5B13" w:rsidRPr="00EC1937" w14:paraId="350D1E51"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6B72AA5" w14:textId="77777777" w:rsidR="002F5B13" w:rsidRPr="00EC1937" w:rsidRDefault="002F5B13" w:rsidP="002F5B13">
                  <w:pPr>
                    <w:rPr>
                      <w:rFonts w:cs="Arial"/>
                      <w:color w:val="000000" w:themeColor="text1"/>
                      <w:sz w:val="22"/>
                    </w:rPr>
                  </w:pPr>
                  <w:r w:rsidRPr="00EC1937">
                    <w:rPr>
                      <w:rFonts w:cs="Arial"/>
                      <w:color w:val="000000" w:themeColor="text1"/>
                      <w:sz w:val="22"/>
                    </w:rPr>
                    <w:t>PCC</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BEBEDA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1,065.16</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50A221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10,075</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0CA020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70,000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0BC993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281,000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E4DADB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2,000</w:t>
                  </w:r>
                </w:p>
              </w:tc>
            </w:tr>
            <w:tr w:rsidR="002F5B13" w:rsidRPr="00EC1937" w14:paraId="21D0E70B"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350DA1F" w14:textId="77777777" w:rsidR="002F5B13" w:rsidRPr="00EC1937" w:rsidRDefault="002F5B13" w:rsidP="002F5B13">
                  <w:pPr>
                    <w:rPr>
                      <w:rFonts w:cs="Arial"/>
                      <w:color w:val="000000" w:themeColor="text1"/>
                      <w:sz w:val="22"/>
                    </w:rPr>
                  </w:pPr>
                  <w:r w:rsidRPr="00EC1937">
                    <w:rPr>
                      <w:rFonts w:cs="Arial"/>
                      <w:color w:val="000000" w:themeColor="text1"/>
                      <w:sz w:val="22"/>
                    </w:rPr>
                    <w:t>Employment</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FCCC92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70.44</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E4DBA9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6FC933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70000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2A7923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275000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1A0686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r>
            <w:tr w:rsidR="002F5B13" w:rsidRPr="00EC1937" w14:paraId="2ECA8BDF"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63C655D" w14:textId="77777777" w:rsidR="002F5B13" w:rsidRPr="00EC1937" w:rsidRDefault="002F5B13" w:rsidP="002F5B13">
                  <w:pPr>
                    <w:rPr>
                      <w:rFonts w:cs="Arial"/>
                      <w:color w:val="000000" w:themeColor="text1"/>
                      <w:sz w:val="22"/>
                    </w:rPr>
                  </w:pPr>
                  <w:r w:rsidRPr="00EC1937">
                    <w:rPr>
                      <w:rFonts w:cs="Arial"/>
                      <w:color w:val="000000" w:themeColor="text1"/>
                      <w:sz w:val="22"/>
                    </w:rPr>
                    <w:t>Housing</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6098ED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754.43</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7BA3AE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E71A2F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886377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00AF0F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79CA167D"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B64AB93" w14:textId="77777777" w:rsidR="002F5B13" w:rsidRPr="00EC1937" w:rsidRDefault="002F5B13" w:rsidP="002F5B13">
                  <w:pPr>
                    <w:rPr>
                      <w:rFonts w:cs="Arial"/>
                      <w:color w:val="000000" w:themeColor="text1"/>
                      <w:sz w:val="22"/>
                    </w:rPr>
                  </w:pPr>
                  <w:r w:rsidRPr="00EC1937">
                    <w:rPr>
                      <w:rFonts w:cs="Arial"/>
                      <w:color w:val="000000" w:themeColor="text1"/>
                      <w:sz w:val="22"/>
                    </w:rPr>
                    <w:t>Mixed Use: H&amp;E</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016FDC5"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168.02</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D12407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10,075</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03FDD2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D14562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038B02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2,000</w:t>
                  </w:r>
                </w:p>
              </w:tc>
            </w:tr>
            <w:tr w:rsidR="002F5B13" w:rsidRPr="00EC1937" w14:paraId="3E8A56D4"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8CDA934" w14:textId="77777777" w:rsidR="002F5B13" w:rsidRPr="00EC1937" w:rsidRDefault="002F5B13" w:rsidP="002F5B13">
                  <w:pPr>
                    <w:rPr>
                      <w:rFonts w:cs="Arial"/>
                      <w:color w:val="000000" w:themeColor="text1"/>
                      <w:sz w:val="22"/>
                    </w:rPr>
                  </w:pPr>
                  <w:r w:rsidRPr="00EC1937">
                    <w:rPr>
                      <w:rFonts w:cs="Arial"/>
                      <w:color w:val="000000" w:themeColor="text1"/>
                      <w:sz w:val="22"/>
                    </w:rPr>
                    <w:t>Mixed Use: O</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4E10A0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52.60</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84A9C1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152E74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47EC51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E5ADAD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44B3669F"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C31CBFF" w14:textId="77777777" w:rsidR="002F5B13" w:rsidRPr="00EC1937" w:rsidRDefault="002F5B13" w:rsidP="002F5B13">
                  <w:pPr>
                    <w:rPr>
                      <w:rFonts w:cs="Arial"/>
                      <w:color w:val="000000" w:themeColor="text1"/>
                      <w:sz w:val="22"/>
                    </w:rPr>
                  </w:pPr>
                  <w:r w:rsidRPr="00EC1937">
                    <w:rPr>
                      <w:rFonts w:cs="Arial"/>
                      <w:color w:val="000000" w:themeColor="text1"/>
                      <w:sz w:val="22"/>
                    </w:rPr>
                    <w:t>SRBC</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D6BCC5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1,303.05</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B8A926D"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1,974,450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7E20264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135,950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268707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109,000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BAF71F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21,900</w:t>
                  </w:r>
                </w:p>
              </w:tc>
            </w:tr>
            <w:tr w:rsidR="002F5B13" w:rsidRPr="00EC1937" w14:paraId="4C6A741B"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174B89B" w14:textId="77777777" w:rsidR="002F5B13" w:rsidRPr="00EC1937" w:rsidRDefault="002F5B13" w:rsidP="002F5B13">
                  <w:pPr>
                    <w:rPr>
                      <w:rFonts w:cs="Arial"/>
                      <w:color w:val="000000" w:themeColor="text1"/>
                      <w:sz w:val="22"/>
                    </w:rPr>
                  </w:pPr>
                  <w:r w:rsidRPr="00EC1937">
                    <w:rPr>
                      <w:rFonts w:cs="Arial"/>
                      <w:color w:val="000000" w:themeColor="text1"/>
                      <w:sz w:val="22"/>
                    </w:rPr>
                    <w:t>Employment</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5DAD9C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26.56</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7E1FF2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3,500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406AD7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35,000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F3AC6A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CE4465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14FEAAEA"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2AF5121E" w14:textId="77777777" w:rsidR="002F5B13" w:rsidRPr="00EC1937" w:rsidRDefault="002F5B13" w:rsidP="002F5B13">
                  <w:pPr>
                    <w:rPr>
                      <w:rFonts w:cs="Arial"/>
                      <w:color w:val="000000" w:themeColor="text1"/>
                      <w:sz w:val="22"/>
                    </w:rPr>
                  </w:pPr>
                  <w:r w:rsidRPr="00EC1937">
                    <w:rPr>
                      <w:rFonts w:cs="Arial"/>
                      <w:color w:val="000000" w:themeColor="text1"/>
                      <w:sz w:val="22"/>
                    </w:rPr>
                    <w:t>Housing</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6C4C85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810.09</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6476BD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D0182C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E0209E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F43541D"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60BE6A0B"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8EF8656" w14:textId="77777777" w:rsidR="002F5B13" w:rsidRPr="00EC1937" w:rsidRDefault="002F5B13" w:rsidP="002F5B13">
                  <w:pPr>
                    <w:rPr>
                      <w:rFonts w:cs="Arial"/>
                      <w:color w:val="000000" w:themeColor="text1"/>
                      <w:sz w:val="22"/>
                    </w:rPr>
                  </w:pPr>
                  <w:r w:rsidRPr="00EC1937">
                    <w:rPr>
                      <w:rFonts w:cs="Arial"/>
                      <w:color w:val="000000" w:themeColor="text1"/>
                      <w:sz w:val="22"/>
                    </w:rPr>
                    <w:t>Mixed Use: H&amp;E</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80154F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422.61</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625DC7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1,950,950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5871B9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85,950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6B3B4F3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89,000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D59FFFD"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21,900</w:t>
                  </w:r>
                </w:p>
              </w:tc>
            </w:tr>
            <w:tr w:rsidR="002F5B13" w:rsidRPr="00EC1937" w14:paraId="11F593C7"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03F71FBC" w14:textId="77777777" w:rsidR="002F5B13" w:rsidRPr="00EC1937" w:rsidRDefault="002F5B13" w:rsidP="002F5B13">
                  <w:pPr>
                    <w:rPr>
                      <w:rFonts w:cs="Arial"/>
                      <w:color w:val="000000" w:themeColor="text1"/>
                      <w:sz w:val="22"/>
                    </w:rPr>
                  </w:pPr>
                  <w:r w:rsidRPr="00EC1937">
                    <w:rPr>
                      <w:rFonts w:cs="Arial"/>
                      <w:color w:val="000000" w:themeColor="text1"/>
                      <w:sz w:val="22"/>
                    </w:rPr>
                    <w:t>Mixed Use: O</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A892CD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22.89</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B89064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20,000</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2C275B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15,000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92994A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20,000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B3817C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r>
            <w:tr w:rsidR="002F5B13" w:rsidRPr="00EC1937" w14:paraId="4D2C21DC"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532E248" w14:textId="77777777" w:rsidR="002F5B13" w:rsidRPr="00EC1937" w:rsidRDefault="002F5B13" w:rsidP="002F5B13">
                  <w:pPr>
                    <w:rPr>
                      <w:rFonts w:cs="Arial"/>
                      <w:color w:val="000000" w:themeColor="text1"/>
                      <w:sz w:val="22"/>
                    </w:rPr>
                  </w:pPr>
                  <w:r w:rsidRPr="00EC1937">
                    <w:rPr>
                      <w:rFonts w:cs="Arial"/>
                      <w:color w:val="000000" w:themeColor="text1"/>
                      <w:sz w:val="22"/>
                    </w:rPr>
                    <w:t>Grand Total</w:t>
                  </w:r>
                </w:p>
              </w:tc>
              <w:tc>
                <w:tcPr>
                  <w:tcW w:w="157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5C1FA55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3,414.24</w:t>
                  </w:r>
                </w:p>
              </w:tc>
              <w:tc>
                <w:tcPr>
                  <w:tcW w:w="1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4516FBD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2,165,125</w:t>
                  </w:r>
                </w:p>
              </w:tc>
              <w:tc>
                <w:tcPr>
                  <w:tcW w:w="181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1DC8E71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399,950</w:t>
                  </w:r>
                </w:p>
              </w:tc>
              <w:tc>
                <w:tcPr>
                  <w:tcW w:w="216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F5516D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552,500</w:t>
                  </w:r>
                </w:p>
              </w:tc>
              <w:tc>
                <w:tcPr>
                  <w:tcW w:w="118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noWrap/>
                  <w:hideMark/>
                </w:tcPr>
                <w:p w14:paraId="3E5B3C7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110,500</w:t>
                  </w:r>
                </w:p>
              </w:tc>
            </w:tr>
          </w:tbl>
          <w:p w14:paraId="56AF2F5C" w14:textId="77777777" w:rsidR="00D34EE1" w:rsidRPr="00EC1937" w:rsidRDefault="00D34EE1" w:rsidP="002F5B13">
            <w:pPr>
              <w:pStyle w:val="Heading2"/>
              <w:rPr>
                <w:rStyle w:val="SubtleEmphasis"/>
                <w:rFonts w:cs="Arial"/>
                <w:b w:val="0"/>
                <w:i w:val="0"/>
                <w:color w:val="000000" w:themeColor="text1"/>
                <w:sz w:val="22"/>
                <w:szCs w:val="22"/>
                <w:lang w:val="en-US"/>
              </w:rPr>
            </w:pPr>
          </w:p>
          <w:p w14:paraId="1FA6F032" w14:textId="77777777" w:rsidR="00D34EE1" w:rsidRPr="00EC1937" w:rsidRDefault="00D34EE1" w:rsidP="002F5B13">
            <w:pPr>
              <w:pStyle w:val="Heading2"/>
              <w:rPr>
                <w:rStyle w:val="SubtleEmphasis"/>
                <w:rFonts w:cs="Arial"/>
                <w:b w:val="0"/>
                <w:i w:val="0"/>
                <w:color w:val="000000" w:themeColor="text1"/>
                <w:sz w:val="22"/>
                <w:szCs w:val="22"/>
                <w:lang w:val="en-US"/>
              </w:rPr>
            </w:pPr>
          </w:p>
          <w:p w14:paraId="311BD355" w14:textId="4C6D7ED1" w:rsidR="002F5B13" w:rsidRPr="00EC1937" w:rsidRDefault="002F5B13" w:rsidP="002F5B13">
            <w:pPr>
              <w:pStyle w:val="Heading2"/>
              <w:rPr>
                <w:rStyle w:val="SubtleEmphasis"/>
                <w:rFonts w:cs="Arial"/>
                <w:i w:val="0"/>
                <w:color w:val="000000" w:themeColor="text1"/>
                <w:sz w:val="22"/>
                <w:szCs w:val="22"/>
                <w:lang w:val="en-US"/>
              </w:rPr>
            </w:pPr>
            <w:r w:rsidRPr="00EC1937">
              <w:rPr>
                <w:rStyle w:val="SubtleEmphasis"/>
                <w:rFonts w:cs="Arial"/>
                <w:i w:val="0"/>
                <w:color w:val="000000" w:themeColor="text1"/>
                <w:sz w:val="22"/>
                <w:szCs w:val="22"/>
                <w:lang w:val="en-US"/>
              </w:rPr>
              <w:t>Constraint Applied: ‘Safeguarded Land’</w:t>
            </w:r>
          </w:p>
          <w:p w14:paraId="19DB6410" w14:textId="77777777" w:rsidR="00D34EE1" w:rsidRPr="00EC1937" w:rsidRDefault="00D34EE1" w:rsidP="002F5B13">
            <w:pPr>
              <w:rPr>
                <w:rFonts w:cs="Arial"/>
                <w:b/>
                <w:color w:val="000000" w:themeColor="text1"/>
                <w:sz w:val="22"/>
                <w:szCs w:val="22"/>
                <w:lang w:val="en-US"/>
              </w:rPr>
            </w:pPr>
          </w:p>
          <w:p w14:paraId="19C31B2C" w14:textId="7BABAD24" w:rsidR="002F5B13" w:rsidRPr="00EC1937" w:rsidRDefault="00D34EE1" w:rsidP="002F5B13">
            <w:pPr>
              <w:rPr>
                <w:rStyle w:val="SubtleEmphasis"/>
                <w:rFonts w:cs="Arial"/>
                <w:i w:val="0"/>
                <w:iCs w:val="0"/>
                <w:color w:val="000000" w:themeColor="text1"/>
                <w:sz w:val="22"/>
                <w:szCs w:val="22"/>
              </w:rPr>
            </w:pPr>
            <w:r w:rsidRPr="00EC1937">
              <w:rPr>
                <w:rFonts w:cs="Arial"/>
                <w:color w:val="000000" w:themeColor="text1"/>
                <w:sz w:val="22"/>
                <w:szCs w:val="22"/>
                <w:lang w:val="en-US"/>
              </w:rPr>
              <w:t xml:space="preserve">Zero </w:t>
            </w:r>
            <w:r w:rsidR="002F5B13" w:rsidRPr="00EC1937">
              <w:rPr>
                <w:rFonts w:cs="Arial"/>
                <w:color w:val="000000" w:themeColor="text1"/>
                <w:sz w:val="22"/>
                <w:szCs w:val="22"/>
                <w:lang w:val="en-US"/>
              </w:rPr>
              <w:t xml:space="preserve">proposals </w:t>
            </w:r>
            <w:r w:rsidRPr="00EC1937">
              <w:rPr>
                <w:rFonts w:cs="Arial"/>
                <w:color w:val="000000" w:themeColor="text1"/>
                <w:sz w:val="22"/>
                <w:szCs w:val="22"/>
                <w:lang w:val="en-US"/>
              </w:rPr>
              <w:t xml:space="preserve">were </w:t>
            </w:r>
            <w:r w:rsidR="002F5B13" w:rsidRPr="00EC1937">
              <w:rPr>
                <w:rFonts w:cs="Arial"/>
                <w:color w:val="000000" w:themeColor="text1"/>
                <w:sz w:val="22"/>
                <w:szCs w:val="22"/>
                <w:lang w:val="en-US"/>
              </w:rPr>
              <w:t>submitted plans for employment floorspace on Safeguarded Land.</w:t>
            </w:r>
          </w:p>
          <w:p w14:paraId="42349E42" w14:textId="0ACFF72C" w:rsidR="00A23BA9" w:rsidRPr="00EC1937" w:rsidRDefault="00A23BA9" w:rsidP="002F5B13">
            <w:pPr>
              <w:pStyle w:val="Heading2"/>
              <w:rPr>
                <w:rStyle w:val="SubtleEmphasis"/>
                <w:rFonts w:cs="Arial"/>
                <w:b w:val="0"/>
                <w:i w:val="0"/>
                <w:color w:val="000000" w:themeColor="text1"/>
                <w:sz w:val="22"/>
                <w:szCs w:val="22"/>
                <w:lang w:val="en-US"/>
              </w:rPr>
            </w:pPr>
          </w:p>
          <w:p w14:paraId="674A0449" w14:textId="77777777" w:rsidR="00A26A6F" w:rsidRPr="00EC1937" w:rsidRDefault="00A26A6F" w:rsidP="00A26A6F">
            <w:pPr>
              <w:rPr>
                <w:rFonts w:cs="Arial"/>
                <w:sz w:val="22"/>
                <w:szCs w:val="22"/>
                <w:lang w:val="en-US"/>
              </w:rPr>
            </w:pPr>
          </w:p>
          <w:p w14:paraId="222A5CE4" w14:textId="77777777" w:rsidR="00EE0926" w:rsidRDefault="00EE0926" w:rsidP="002F5B13">
            <w:pPr>
              <w:pStyle w:val="Heading2"/>
              <w:rPr>
                <w:rStyle w:val="SubtleEmphasis"/>
                <w:rFonts w:cs="Arial"/>
                <w:i w:val="0"/>
                <w:color w:val="000000" w:themeColor="text1"/>
                <w:sz w:val="22"/>
                <w:szCs w:val="22"/>
                <w:lang w:val="en-US"/>
              </w:rPr>
            </w:pPr>
          </w:p>
          <w:p w14:paraId="2FE7C57D" w14:textId="77777777" w:rsidR="00EE0926" w:rsidRDefault="00EE0926" w:rsidP="002F5B13">
            <w:pPr>
              <w:pStyle w:val="Heading2"/>
              <w:rPr>
                <w:rStyle w:val="SubtleEmphasis"/>
                <w:rFonts w:cs="Arial"/>
                <w:i w:val="0"/>
                <w:color w:val="000000" w:themeColor="text1"/>
                <w:sz w:val="22"/>
                <w:szCs w:val="22"/>
                <w:lang w:val="en-US"/>
              </w:rPr>
            </w:pPr>
          </w:p>
          <w:p w14:paraId="58018EFA" w14:textId="77777777" w:rsidR="00EE0926" w:rsidRDefault="00EE0926" w:rsidP="002F5B13">
            <w:pPr>
              <w:pStyle w:val="Heading2"/>
              <w:rPr>
                <w:rStyle w:val="SubtleEmphasis"/>
                <w:rFonts w:cs="Arial"/>
                <w:i w:val="0"/>
                <w:color w:val="000000" w:themeColor="text1"/>
                <w:sz w:val="22"/>
                <w:szCs w:val="22"/>
                <w:lang w:val="en-US"/>
              </w:rPr>
            </w:pPr>
          </w:p>
          <w:p w14:paraId="252DB523" w14:textId="77777777" w:rsidR="00EE0926" w:rsidRDefault="00EE0926" w:rsidP="002F5B13">
            <w:pPr>
              <w:pStyle w:val="Heading2"/>
              <w:rPr>
                <w:rStyle w:val="SubtleEmphasis"/>
                <w:rFonts w:cs="Arial"/>
                <w:i w:val="0"/>
                <w:color w:val="000000" w:themeColor="text1"/>
                <w:sz w:val="22"/>
                <w:szCs w:val="22"/>
                <w:lang w:val="en-US"/>
              </w:rPr>
            </w:pPr>
          </w:p>
          <w:p w14:paraId="1919C1A9" w14:textId="77777777" w:rsidR="00EE0926" w:rsidRDefault="00EE0926" w:rsidP="002F5B13">
            <w:pPr>
              <w:pStyle w:val="Heading2"/>
              <w:rPr>
                <w:rStyle w:val="SubtleEmphasis"/>
                <w:rFonts w:cs="Arial"/>
                <w:i w:val="0"/>
                <w:color w:val="000000" w:themeColor="text1"/>
                <w:sz w:val="22"/>
                <w:szCs w:val="22"/>
                <w:lang w:val="en-US"/>
              </w:rPr>
            </w:pPr>
          </w:p>
          <w:p w14:paraId="2704A22F" w14:textId="64B79E1A" w:rsidR="00EE0926" w:rsidRDefault="00EE0926" w:rsidP="002F5B13">
            <w:pPr>
              <w:pStyle w:val="Heading2"/>
              <w:rPr>
                <w:rStyle w:val="SubtleEmphasis"/>
                <w:rFonts w:cs="Arial"/>
                <w:i w:val="0"/>
                <w:color w:val="000000" w:themeColor="text1"/>
                <w:sz w:val="22"/>
                <w:szCs w:val="22"/>
                <w:lang w:val="en-US"/>
              </w:rPr>
            </w:pPr>
          </w:p>
          <w:p w14:paraId="73393E88" w14:textId="77777777" w:rsidR="008D4844" w:rsidRPr="008D4844" w:rsidRDefault="008D4844" w:rsidP="008D4844">
            <w:pPr>
              <w:rPr>
                <w:lang w:val="en-US"/>
              </w:rPr>
            </w:pPr>
          </w:p>
          <w:p w14:paraId="4F84FF71" w14:textId="77777777" w:rsidR="00EE0926" w:rsidRDefault="00EE0926" w:rsidP="002F5B13">
            <w:pPr>
              <w:pStyle w:val="Heading2"/>
              <w:rPr>
                <w:rStyle w:val="SubtleEmphasis"/>
                <w:rFonts w:cs="Arial"/>
                <w:i w:val="0"/>
                <w:color w:val="000000" w:themeColor="text1"/>
                <w:sz w:val="22"/>
                <w:szCs w:val="22"/>
                <w:lang w:val="en-US"/>
              </w:rPr>
            </w:pPr>
          </w:p>
          <w:p w14:paraId="40CA623A" w14:textId="77777777" w:rsidR="00EE0926" w:rsidRDefault="00EE0926" w:rsidP="002F5B13">
            <w:pPr>
              <w:pStyle w:val="Heading2"/>
              <w:rPr>
                <w:rStyle w:val="SubtleEmphasis"/>
                <w:rFonts w:cs="Arial"/>
                <w:i w:val="0"/>
                <w:color w:val="000000" w:themeColor="text1"/>
                <w:sz w:val="22"/>
                <w:szCs w:val="22"/>
                <w:lang w:val="en-US"/>
              </w:rPr>
            </w:pPr>
          </w:p>
          <w:p w14:paraId="38FA62B0" w14:textId="3C4867FE" w:rsidR="002F5B13" w:rsidRPr="00EC1937" w:rsidRDefault="002F5B13" w:rsidP="002F5B13">
            <w:pPr>
              <w:pStyle w:val="Heading2"/>
              <w:rPr>
                <w:rStyle w:val="SubtleEmphasis"/>
                <w:rFonts w:cs="Arial"/>
                <w:i w:val="0"/>
                <w:color w:val="000000" w:themeColor="text1"/>
                <w:sz w:val="22"/>
                <w:szCs w:val="22"/>
                <w:lang w:val="en-US"/>
              </w:rPr>
            </w:pPr>
            <w:r w:rsidRPr="00EC1937">
              <w:rPr>
                <w:rStyle w:val="SubtleEmphasis"/>
                <w:rFonts w:cs="Arial"/>
                <w:i w:val="0"/>
                <w:color w:val="000000" w:themeColor="text1"/>
                <w:sz w:val="22"/>
                <w:szCs w:val="22"/>
                <w:lang w:val="en-US"/>
              </w:rPr>
              <w:t>Constraint Applied: ‘Partially or Wholly on Greenbelt Land’</w:t>
            </w:r>
          </w:p>
          <w:p w14:paraId="7E01F2F3" w14:textId="77777777" w:rsidR="00A23BA9" w:rsidRPr="00EC1937" w:rsidRDefault="00A23BA9" w:rsidP="00A23BA9">
            <w:pPr>
              <w:rPr>
                <w:rFonts w:cs="Arial"/>
                <w:sz w:val="22"/>
                <w:szCs w:val="22"/>
                <w:lang w:val="en-US"/>
              </w:rPr>
            </w:pPr>
          </w:p>
          <w:tbl>
            <w:tblPr>
              <w:tblStyle w:val="GridTable1Light-Accent5"/>
              <w:tblW w:w="0" w:type="auto"/>
              <w:tblInd w:w="0" w:type="dxa"/>
              <w:tblLook w:val="04A0" w:firstRow="1" w:lastRow="0" w:firstColumn="1" w:lastColumn="0" w:noHBand="0" w:noVBand="1"/>
            </w:tblPr>
            <w:tblGrid>
              <w:gridCol w:w="2182"/>
              <w:gridCol w:w="1590"/>
              <w:gridCol w:w="1390"/>
              <w:gridCol w:w="1541"/>
              <w:gridCol w:w="1234"/>
              <w:gridCol w:w="1226"/>
            </w:tblGrid>
            <w:tr w:rsidR="002F5B13" w:rsidRPr="00EC1937" w14:paraId="5F6D855E" w14:textId="77777777" w:rsidTr="00605A8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78A8D62C" w14:textId="77777777" w:rsidR="002F5B13" w:rsidRPr="00EC1937" w:rsidRDefault="002F5B13" w:rsidP="002F5B13">
                  <w:pPr>
                    <w:rPr>
                      <w:rFonts w:cs="Arial"/>
                      <w:color w:val="000000" w:themeColor="text1"/>
                      <w:sz w:val="22"/>
                    </w:rPr>
                  </w:pPr>
                  <w:r w:rsidRPr="00EC1937">
                    <w:rPr>
                      <w:rFonts w:cs="Arial"/>
                      <w:color w:val="000000" w:themeColor="text1"/>
                      <w:sz w:val="22"/>
                    </w:rPr>
                    <w:t>Row Labels</w:t>
                  </w:r>
                </w:p>
              </w:tc>
              <w:tc>
                <w:tcPr>
                  <w:tcW w:w="1818"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002D46D5"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Gross GIS Corrected</w:t>
                  </w:r>
                  <w:r w:rsidRPr="00EC1937">
                    <w:rPr>
                      <w:rFonts w:cs="Arial"/>
                      <w:color w:val="000000" w:themeColor="text1"/>
                      <w:sz w:val="22"/>
                    </w:rPr>
                    <w:br/>
                    <w:t xml:space="preserve"> Site Size (Hectares)*</w:t>
                  </w:r>
                </w:p>
              </w:tc>
              <w:tc>
                <w:tcPr>
                  <w:tcW w:w="1584"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6402FBC5"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Office R&amp;D/LI (B1) Floorspace (m2)</w:t>
                  </w:r>
                </w:p>
              </w:tc>
              <w:tc>
                <w:tcPr>
                  <w:tcW w:w="1760"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61819CB7"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General Industrial (B2) Floorspace (m2)</w:t>
                  </w:r>
                </w:p>
              </w:tc>
              <w:tc>
                <w:tcPr>
                  <w:tcW w:w="1393"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44661323" w14:textId="31A9B526"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Warehouse (B8</w:t>
                  </w:r>
                  <w:r w:rsidR="00605A85" w:rsidRPr="00EC1937">
                    <w:rPr>
                      <w:rFonts w:cs="Arial"/>
                      <w:color w:val="000000" w:themeColor="text1"/>
                      <w:sz w:val="22"/>
                    </w:rPr>
                    <w:t>) Floorspace</w:t>
                  </w:r>
                  <w:r w:rsidRPr="00EC1937">
                    <w:rPr>
                      <w:rFonts w:cs="Arial"/>
                      <w:color w:val="000000" w:themeColor="text1"/>
                      <w:sz w:val="22"/>
                    </w:rPr>
                    <w:t xml:space="preserve"> (m2)</w:t>
                  </w:r>
                </w:p>
              </w:tc>
              <w:tc>
                <w:tcPr>
                  <w:tcW w:w="1393" w:type="dxa"/>
                  <w:tcBorders>
                    <w:top w:val="single" w:sz="4" w:space="0" w:color="B6DDE8" w:themeColor="accent5" w:themeTint="66"/>
                    <w:left w:val="single" w:sz="4" w:space="0" w:color="B6DDE8" w:themeColor="accent5" w:themeTint="66"/>
                    <w:right w:val="single" w:sz="4" w:space="0" w:color="B6DDE8" w:themeColor="accent5" w:themeTint="66"/>
                  </w:tcBorders>
                  <w:hideMark/>
                </w:tcPr>
                <w:p w14:paraId="1AF90CD2" w14:textId="77777777" w:rsidR="002F5B13" w:rsidRPr="00EC1937" w:rsidRDefault="002F5B13" w:rsidP="002F5B13">
                  <w:pP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Retail Floorspace (m2)</w:t>
                  </w:r>
                </w:p>
              </w:tc>
            </w:tr>
            <w:tr w:rsidR="002F5B13" w:rsidRPr="00EC1937" w14:paraId="4D22A456"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7A24004" w14:textId="77777777" w:rsidR="002F5B13" w:rsidRPr="00EC1937" w:rsidRDefault="002F5B13" w:rsidP="002F5B13">
                  <w:pPr>
                    <w:rPr>
                      <w:rFonts w:cs="Arial"/>
                      <w:color w:val="000000" w:themeColor="text1"/>
                      <w:sz w:val="22"/>
                    </w:rPr>
                  </w:pPr>
                  <w:r w:rsidRPr="00EC1937">
                    <w:rPr>
                      <w:rFonts w:cs="Arial"/>
                      <w:color w:val="000000" w:themeColor="text1"/>
                      <w:sz w:val="22"/>
                    </w:rPr>
                    <w:t>CBC</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67E9D4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737.90</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263FBF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86,600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0C515E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89,000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3E6388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67,500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213655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1,600</w:t>
                  </w:r>
                </w:p>
              </w:tc>
            </w:tr>
            <w:tr w:rsidR="002F5B13" w:rsidRPr="00EC1937" w14:paraId="0B7CD4D4"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507598C" w14:textId="77777777" w:rsidR="002F5B13" w:rsidRPr="00EC1937" w:rsidRDefault="002F5B13" w:rsidP="002F5B13">
                  <w:pPr>
                    <w:rPr>
                      <w:rFonts w:cs="Arial"/>
                      <w:color w:val="000000" w:themeColor="text1"/>
                      <w:sz w:val="22"/>
                    </w:rPr>
                  </w:pPr>
                  <w:r w:rsidRPr="00EC1937">
                    <w:rPr>
                      <w:rFonts w:cs="Arial"/>
                      <w:color w:val="000000" w:themeColor="text1"/>
                      <w:sz w:val="22"/>
                    </w:rPr>
                    <w:t>Employment</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60335B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11.73</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42F750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BA89FED"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F0C048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37,000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B16F9E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r>
            <w:tr w:rsidR="002F5B13" w:rsidRPr="00EC1937" w14:paraId="2F540F45"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EFD834F" w14:textId="77777777" w:rsidR="002F5B13" w:rsidRPr="00EC1937" w:rsidRDefault="002F5B13" w:rsidP="002F5B13">
                  <w:pPr>
                    <w:rPr>
                      <w:rFonts w:cs="Arial"/>
                      <w:b w:val="0"/>
                      <w:bCs w:val="0"/>
                      <w:color w:val="000000" w:themeColor="text1"/>
                      <w:sz w:val="22"/>
                    </w:rPr>
                  </w:pPr>
                  <w:r w:rsidRPr="00EC1937">
                    <w:rPr>
                      <w:rFonts w:cs="Arial"/>
                      <w:color w:val="000000" w:themeColor="text1"/>
                      <w:sz w:val="22"/>
                    </w:rPr>
                    <w:t>Housing</w:t>
                  </w:r>
                </w:p>
                <w:p w14:paraId="6EA353AD" w14:textId="77777777" w:rsidR="002F5B13" w:rsidRPr="00EC1937" w:rsidRDefault="002F5B13" w:rsidP="002F5B13">
                  <w:pPr>
                    <w:rPr>
                      <w:rFonts w:cs="Arial"/>
                      <w:b w:val="0"/>
                      <w:color w:val="000000" w:themeColor="text1"/>
                      <w:sz w:val="22"/>
                    </w:rPr>
                  </w:pPr>
                  <w:r w:rsidRPr="00EC1937">
                    <w:rPr>
                      <w:rFonts w:cs="Arial"/>
                      <w:b w:val="0"/>
                      <w:color w:val="000000" w:themeColor="text1"/>
                      <w:sz w:val="22"/>
                    </w:rPr>
                    <w:t>Housing with retail</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ACDF5D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600.87</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A5D9C8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44A322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D72862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tcPr>
                <w:p w14:paraId="2D90DE9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p w14:paraId="29B8BDB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600</w:t>
                  </w:r>
                </w:p>
              </w:tc>
            </w:tr>
            <w:tr w:rsidR="002F5B13" w:rsidRPr="00EC1937" w14:paraId="6AE8FC9E"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6DA9D76" w14:textId="77777777" w:rsidR="002F5B13" w:rsidRPr="00EC1937" w:rsidRDefault="002F5B13" w:rsidP="002F5B13">
                  <w:pPr>
                    <w:rPr>
                      <w:rFonts w:cs="Arial"/>
                      <w:color w:val="000000" w:themeColor="text1"/>
                      <w:sz w:val="22"/>
                    </w:rPr>
                  </w:pPr>
                  <w:r w:rsidRPr="00EC1937">
                    <w:rPr>
                      <w:rFonts w:cs="Arial"/>
                      <w:color w:val="000000" w:themeColor="text1"/>
                      <w:sz w:val="22"/>
                    </w:rPr>
                    <w:t>Mixed Use: H&amp;E</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BD7981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67.49</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8F1F36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44,600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514BDB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48,000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7BE1D5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29,500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37998D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r>
            <w:tr w:rsidR="002F5B13" w:rsidRPr="00EC1937" w14:paraId="5180596D"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730200E" w14:textId="77777777" w:rsidR="002F5B13" w:rsidRPr="00EC1937" w:rsidRDefault="002F5B13" w:rsidP="002F5B13">
                  <w:pPr>
                    <w:rPr>
                      <w:rFonts w:cs="Arial"/>
                      <w:color w:val="000000" w:themeColor="text1"/>
                      <w:sz w:val="22"/>
                    </w:rPr>
                  </w:pPr>
                  <w:r w:rsidRPr="00EC1937">
                    <w:rPr>
                      <w:rFonts w:cs="Arial"/>
                      <w:color w:val="000000" w:themeColor="text1"/>
                      <w:sz w:val="22"/>
                    </w:rPr>
                    <w:t>Mixed Use: O</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C4A66D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49.04</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D592BD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42,000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0F2AA3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41,000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87A0B0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D04F03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1,000</w:t>
                  </w:r>
                </w:p>
              </w:tc>
            </w:tr>
            <w:tr w:rsidR="002F5B13" w:rsidRPr="00EC1937" w14:paraId="1555AC82"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3F39692" w14:textId="77777777" w:rsidR="002F5B13" w:rsidRPr="00EC1937" w:rsidRDefault="002F5B13" w:rsidP="002F5B13">
                  <w:pPr>
                    <w:rPr>
                      <w:rFonts w:cs="Arial"/>
                      <w:color w:val="000000" w:themeColor="text1"/>
                      <w:sz w:val="22"/>
                    </w:rPr>
                  </w:pPr>
                  <w:r w:rsidRPr="00EC1937">
                    <w:rPr>
                      <w:rFonts w:cs="Arial"/>
                      <w:color w:val="000000" w:themeColor="text1"/>
                      <w:sz w:val="22"/>
                    </w:rPr>
                    <w:t>PCC</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2E42F0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180.32</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6EE525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4,000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FDA22E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E7AF54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6,000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E217A1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2,000</w:t>
                  </w:r>
                </w:p>
              </w:tc>
            </w:tr>
            <w:tr w:rsidR="002F5B13" w:rsidRPr="00EC1937" w14:paraId="17A31A22"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2C7BD4A" w14:textId="77777777" w:rsidR="002F5B13" w:rsidRPr="00EC1937" w:rsidRDefault="002F5B13" w:rsidP="002F5B13">
                  <w:pPr>
                    <w:rPr>
                      <w:rFonts w:cs="Arial"/>
                      <w:color w:val="000000" w:themeColor="text1"/>
                      <w:sz w:val="22"/>
                    </w:rPr>
                  </w:pPr>
                  <w:r w:rsidRPr="00EC1937">
                    <w:rPr>
                      <w:rFonts w:cs="Arial"/>
                      <w:color w:val="000000" w:themeColor="text1"/>
                      <w:sz w:val="22"/>
                    </w:rPr>
                    <w:t>Housing</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3B56CFE"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26.63</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2230D1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5B9E36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755BB2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EF9FE7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13B0B50F"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72E3F19" w14:textId="77777777" w:rsidR="002F5B13" w:rsidRPr="00EC1937" w:rsidRDefault="002F5B13" w:rsidP="002F5B13">
                  <w:pPr>
                    <w:rPr>
                      <w:rFonts w:cs="Arial"/>
                      <w:color w:val="000000" w:themeColor="text1"/>
                      <w:sz w:val="22"/>
                    </w:rPr>
                  </w:pPr>
                  <w:r w:rsidRPr="00EC1937">
                    <w:rPr>
                      <w:rFonts w:cs="Arial"/>
                      <w:color w:val="000000" w:themeColor="text1"/>
                      <w:sz w:val="22"/>
                    </w:rPr>
                    <w:t>Mixed Use: H&amp;E</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4379D7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148.72</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4A1A47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4,000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82F645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D2921C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6,000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E02277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2,000</w:t>
                  </w:r>
                </w:p>
              </w:tc>
            </w:tr>
            <w:tr w:rsidR="002F5B13" w:rsidRPr="00EC1937" w14:paraId="241EC63E"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D1EB618" w14:textId="77777777" w:rsidR="002F5B13" w:rsidRPr="00EC1937" w:rsidRDefault="002F5B13" w:rsidP="002F5B13">
                  <w:pPr>
                    <w:rPr>
                      <w:rFonts w:cs="Arial"/>
                      <w:color w:val="000000" w:themeColor="text1"/>
                      <w:sz w:val="22"/>
                    </w:rPr>
                  </w:pPr>
                  <w:r w:rsidRPr="00EC1937">
                    <w:rPr>
                      <w:rFonts w:cs="Arial"/>
                      <w:color w:val="000000" w:themeColor="text1"/>
                      <w:sz w:val="22"/>
                    </w:rPr>
                    <w:t>Mixed Use: O</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E3CB905"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4.97</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A92C9DD"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C56DCF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B685DC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DE277E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739F157A"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BA7EC99" w14:textId="77777777" w:rsidR="002F5B13" w:rsidRPr="00EC1937" w:rsidRDefault="002F5B13" w:rsidP="002F5B13">
                  <w:pPr>
                    <w:rPr>
                      <w:rFonts w:cs="Arial"/>
                      <w:color w:val="000000" w:themeColor="text1"/>
                      <w:sz w:val="22"/>
                    </w:rPr>
                  </w:pPr>
                  <w:r w:rsidRPr="00EC1937">
                    <w:rPr>
                      <w:rFonts w:cs="Arial"/>
                      <w:color w:val="000000" w:themeColor="text1"/>
                      <w:sz w:val="22"/>
                    </w:rPr>
                    <w:t>SRBC</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42C8CA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823.88</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C1C280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1,954,450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F37593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86,950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966B5A7"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55,000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4538841"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21,900</w:t>
                  </w:r>
                </w:p>
              </w:tc>
            </w:tr>
            <w:tr w:rsidR="002F5B13" w:rsidRPr="00EC1937" w14:paraId="08090392"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907F0CB" w14:textId="77777777" w:rsidR="002F5B13" w:rsidRPr="00EC1937" w:rsidRDefault="002F5B13" w:rsidP="002F5B13">
                  <w:pPr>
                    <w:rPr>
                      <w:rFonts w:cs="Arial"/>
                      <w:color w:val="000000" w:themeColor="text1"/>
                      <w:sz w:val="22"/>
                    </w:rPr>
                  </w:pPr>
                  <w:r w:rsidRPr="00EC1937">
                    <w:rPr>
                      <w:rFonts w:cs="Arial"/>
                      <w:color w:val="000000" w:themeColor="text1"/>
                      <w:sz w:val="22"/>
                    </w:rPr>
                    <w:t>Employment</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00AD5ED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26.56</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61AF47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3,500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321DEE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35,000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570856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8BA242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79F22A1D"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CDABBFF" w14:textId="77777777" w:rsidR="002F5B13" w:rsidRPr="00EC1937" w:rsidRDefault="002F5B13" w:rsidP="002F5B13">
                  <w:pPr>
                    <w:rPr>
                      <w:rFonts w:cs="Arial"/>
                      <w:color w:val="000000" w:themeColor="text1"/>
                      <w:sz w:val="22"/>
                    </w:rPr>
                  </w:pPr>
                  <w:r w:rsidRPr="00EC1937">
                    <w:rPr>
                      <w:rFonts w:cs="Arial"/>
                      <w:color w:val="000000" w:themeColor="text1"/>
                      <w:sz w:val="22"/>
                    </w:rPr>
                    <w:t>Housing</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E6B1C2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433.93</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7E24AB75"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FD2A1C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E9586A5"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95B2DA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7CDA6B96"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A469651" w14:textId="77777777" w:rsidR="002F5B13" w:rsidRPr="00EC1937" w:rsidRDefault="002F5B13" w:rsidP="002F5B13">
                  <w:pPr>
                    <w:rPr>
                      <w:rFonts w:cs="Arial"/>
                      <w:color w:val="000000" w:themeColor="text1"/>
                      <w:sz w:val="22"/>
                    </w:rPr>
                  </w:pPr>
                  <w:r w:rsidRPr="00EC1937">
                    <w:rPr>
                      <w:rFonts w:cs="Arial"/>
                      <w:color w:val="000000" w:themeColor="text1"/>
                      <w:sz w:val="22"/>
                    </w:rPr>
                    <w:t>Mixed Use: H&amp;E</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1017DF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346.98</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14A2CB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1,950,950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5A26D54"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51,950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23490B3B"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55,000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440967F"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21,900</w:t>
                  </w:r>
                </w:p>
              </w:tc>
            </w:tr>
            <w:tr w:rsidR="002F5B13" w:rsidRPr="00EC1937" w14:paraId="3D5C28E7"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25E5772" w14:textId="77777777" w:rsidR="002F5B13" w:rsidRPr="00EC1937" w:rsidRDefault="002F5B13" w:rsidP="002F5B13">
                  <w:pPr>
                    <w:rPr>
                      <w:rFonts w:cs="Arial"/>
                      <w:color w:val="000000" w:themeColor="text1"/>
                      <w:sz w:val="22"/>
                    </w:rPr>
                  </w:pPr>
                  <w:r w:rsidRPr="00EC1937">
                    <w:rPr>
                      <w:rFonts w:cs="Arial"/>
                      <w:color w:val="000000" w:themeColor="text1"/>
                      <w:sz w:val="22"/>
                    </w:rPr>
                    <w:t>Mixed Use: O</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84D974A"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EC1937">
                    <w:rPr>
                      <w:rFonts w:cs="Arial"/>
                      <w:color w:val="000000" w:themeColor="text1"/>
                      <w:sz w:val="22"/>
                    </w:rPr>
                    <w:t>1.68</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33B1DAC9"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49230FE2"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1253A26"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C34B6F8"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color w:val="000000" w:themeColor="text1"/>
                      <w:sz w:val="22"/>
                      <w:lang w:eastAsia="en-GB"/>
                    </w:rPr>
                  </w:pPr>
                </w:p>
              </w:tc>
            </w:tr>
            <w:tr w:rsidR="002F5B13" w:rsidRPr="00EC1937" w14:paraId="542988DC" w14:textId="77777777" w:rsidTr="00605A85">
              <w:trPr>
                <w:trHeight w:val="285"/>
              </w:trPr>
              <w:tc>
                <w:tcPr>
                  <w:cnfStyle w:val="001000000000" w:firstRow="0" w:lastRow="0" w:firstColumn="1" w:lastColumn="0" w:oddVBand="0" w:evenVBand="0" w:oddHBand="0" w:evenHBand="0" w:firstRowFirstColumn="0" w:firstRowLastColumn="0" w:lastRowFirstColumn="0" w:lastRowLastColumn="0"/>
                  <w:tcW w:w="250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399F379" w14:textId="77777777" w:rsidR="002F5B13" w:rsidRPr="00EC1937" w:rsidRDefault="002F5B13" w:rsidP="002F5B13">
                  <w:pPr>
                    <w:rPr>
                      <w:rFonts w:cs="Arial"/>
                      <w:color w:val="000000" w:themeColor="text1"/>
                      <w:sz w:val="22"/>
                    </w:rPr>
                  </w:pPr>
                  <w:r w:rsidRPr="00EC1937">
                    <w:rPr>
                      <w:rFonts w:cs="Arial"/>
                      <w:color w:val="000000" w:themeColor="text1"/>
                      <w:sz w:val="22"/>
                    </w:rPr>
                    <w:t>Grand Total</w:t>
                  </w:r>
                </w:p>
              </w:tc>
              <w:tc>
                <w:tcPr>
                  <w:tcW w:w="181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141E1C5C"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1,742.10</w:t>
                  </w:r>
                </w:p>
              </w:tc>
              <w:tc>
                <w:tcPr>
                  <w:tcW w:w="15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232C02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2,045,050</w:t>
                  </w:r>
                </w:p>
              </w:tc>
              <w:tc>
                <w:tcPr>
                  <w:tcW w:w="176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001692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175,950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612B3190"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128,500</w:t>
                  </w:r>
                </w:p>
              </w:tc>
              <w:tc>
                <w:tcPr>
                  <w:tcW w:w="13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14:paraId="511956F3" w14:textId="77777777" w:rsidR="002F5B13" w:rsidRPr="00EC1937" w:rsidRDefault="002F5B13" w:rsidP="002F5B13">
                  <w:pP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rPr>
                  </w:pPr>
                  <w:r w:rsidRPr="00EC1937">
                    <w:rPr>
                      <w:rFonts w:cs="Arial"/>
                      <w:b/>
                      <w:bCs/>
                      <w:color w:val="000000" w:themeColor="text1"/>
                      <w:sz w:val="22"/>
                    </w:rPr>
                    <w:t>25,500</w:t>
                  </w:r>
                </w:p>
              </w:tc>
            </w:tr>
          </w:tbl>
          <w:p w14:paraId="58743EEE" w14:textId="77777777" w:rsidR="002F5B13" w:rsidRPr="00EC1937" w:rsidRDefault="002F5B13" w:rsidP="002F5B13">
            <w:pPr>
              <w:rPr>
                <w:rFonts w:cs="Arial"/>
                <w:color w:val="000000" w:themeColor="text1"/>
                <w:sz w:val="22"/>
                <w:szCs w:val="22"/>
                <w:lang w:val="en-US"/>
              </w:rPr>
            </w:pPr>
          </w:p>
          <w:p w14:paraId="7E9F1696" w14:textId="77777777" w:rsidR="002F5B13" w:rsidRPr="00EC1937" w:rsidRDefault="002F5B13" w:rsidP="002F5B13">
            <w:pPr>
              <w:rPr>
                <w:rFonts w:cs="Arial"/>
                <w:color w:val="000000" w:themeColor="text1"/>
                <w:sz w:val="22"/>
                <w:szCs w:val="22"/>
                <w:lang w:val="en-US"/>
              </w:rPr>
            </w:pPr>
            <w:r w:rsidRPr="00EC1937">
              <w:rPr>
                <w:rFonts w:cs="Arial"/>
                <w:color w:val="000000" w:themeColor="text1"/>
                <w:sz w:val="22"/>
                <w:szCs w:val="22"/>
                <w:lang w:val="en-US"/>
              </w:rPr>
              <w:t>*Sites have not been screened for duplicate submissions presenting multiple options on a given site (whether for housing and/or mixed use, employment etc.), as such hectarage and dwelling numbers may be deflated when corrected following the completion of the SHELAA assessment.</w:t>
            </w:r>
            <w:r w:rsidRPr="00EC1937">
              <w:rPr>
                <w:rFonts w:cs="Arial"/>
                <w:color w:val="000000" w:themeColor="text1"/>
                <w:sz w:val="22"/>
                <w:szCs w:val="22"/>
                <w:lang w:val="en-US"/>
              </w:rPr>
              <w:br/>
            </w:r>
          </w:p>
          <w:p w14:paraId="38326870" w14:textId="78524A7E" w:rsidR="002F5B13" w:rsidRDefault="002F5B13" w:rsidP="002F5B13">
            <w:pPr>
              <w:rPr>
                <w:rFonts w:cs="Arial"/>
                <w:color w:val="000000" w:themeColor="text1"/>
                <w:sz w:val="22"/>
                <w:szCs w:val="22"/>
                <w:lang w:val="en-US"/>
              </w:rPr>
            </w:pPr>
            <w:r w:rsidRPr="00EC1937">
              <w:rPr>
                <w:rFonts w:cs="Arial"/>
                <w:color w:val="000000" w:themeColor="text1"/>
                <w:sz w:val="22"/>
                <w:szCs w:val="22"/>
                <w:lang w:val="en-US"/>
              </w:rPr>
              <w:t>*Office floorspace square meterage does not account for multiple floors. As such only ground floor floorspace is assumed and used in these calculations. Later corrective clarifications are likely to have a significant inflationary effect on the housing figures for these sites, which will each be identified during the SHELAA.</w:t>
            </w:r>
          </w:p>
          <w:p w14:paraId="0800AF73" w14:textId="1D578301" w:rsidR="00EC1937" w:rsidRDefault="00EC1937" w:rsidP="002F5B13">
            <w:pPr>
              <w:rPr>
                <w:rFonts w:cs="Arial"/>
                <w:color w:val="000000" w:themeColor="text1"/>
                <w:sz w:val="22"/>
                <w:szCs w:val="22"/>
                <w:lang w:val="en-US"/>
              </w:rPr>
            </w:pPr>
          </w:p>
          <w:p w14:paraId="414987FE" w14:textId="42245485" w:rsidR="00EC1937" w:rsidRPr="00EC1937" w:rsidRDefault="00EC1937" w:rsidP="002F5B13">
            <w:pPr>
              <w:rPr>
                <w:rFonts w:cs="Arial"/>
                <w:b/>
                <w:color w:val="000000" w:themeColor="text1"/>
                <w:sz w:val="22"/>
                <w:szCs w:val="22"/>
                <w:lang w:val="en-US"/>
              </w:rPr>
            </w:pPr>
            <w:r w:rsidRPr="00EC1937">
              <w:rPr>
                <w:rFonts w:cs="Arial"/>
                <w:b/>
                <w:color w:val="000000" w:themeColor="text1"/>
                <w:sz w:val="22"/>
                <w:szCs w:val="22"/>
                <w:lang w:val="en-US"/>
              </w:rPr>
              <w:t xml:space="preserve">GREENBELT ASSESSMENT </w:t>
            </w:r>
          </w:p>
          <w:p w14:paraId="216E8F9E" w14:textId="06CB47E3" w:rsidR="00FD2FEA" w:rsidRPr="00EC1937" w:rsidRDefault="002F5B13" w:rsidP="00EC1937">
            <w:pPr>
              <w:rPr>
                <w:rFonts w:cs="Arial"/>
                <w:color w:val="000000" w:themeColor="text1"/>
                <w:sz w:val="22"/>
                <w:szCs w:val="22"/>
                <w:lang w:val="en-US"/>
              </w:rPr>
            </w:pPr>
            <w:r w:rsidRPr="00EC1937">
              <w:rPr>
                <w:rFonts w:cs="Arial"/>
                <w:color w:val="000000" w:themeColor="text1"/>
                <w:sz w:val="22"/>
                <w:szCs w:val="22"/>
                <w:lang w:val="en-US"/>
              </w:rPr>
              <w:t xml:space="preserve"> </w:t>
            </w:r>
          </w:p>
          <w:p w14:paraId="35731CF8" w14:textId="5243B38F" w:rsidR="004C0256" w:rsidRPr="00EE0926" w:rsidRDefault="00FD2FEA" w:rsidP="00EE0926">
            <w:pPr>
              <w:pStyle w:val="ListParagraph"/>
              <w:numPr>
                <w:ilvl w:val="0"/>
                <w:numId w:val="1"/>
              </w:numPr>
              <w:rPr>
                <w:rFonts w:eastAsiaTheme="minorHAnsi" w:cs="Arial"/>
                <w:sz w:val="22"/>
                <w:szCs w:val="22"/>
              </w:rPr>
            </w:pPr>
            <w:r w:rsidRPr="00EC1937">
              <w:rPr>
                <w:rFonts w:eastAsiaTheme="minorHAnsi" w:cs="Arial"/>
                <w:sz w:val="22"/>
                <w:szCs w:val="22"/>
              </w:rPr>
              <w:t xml:space="preserve">Members are advised that there is no </w:t>
            </w:r>
            <w:r w:rsidR="009F4DC1" w:rsidRPr="00EC1937">
              <w:rPr>
                <w:rFonts w:eastAsiaTheme="minorHAnsi" w:cs="Arial"/>
                <w:sz w:val="22"/>
                <w:szCs w:val="22"/>
              </w:rPr>
              <w:t>justification at</w:t>
            </w:r>
            <w:r w:rsidRPr="00EC1937">
              <w:rPr>
                <w:rFonts w:eastAsiaTheme="minorHAnsi" w:cs="Arial"/>
                <w:sz w:val="22"/>
                <w:szCs w:val="22"/>
              </w:rPr>
              <w:t xml:space="preserve"> this stage</w:t>
            </w:r>
            <w:r w:rsidR="009F4DC1" w:rsidRPr="00EC1937">
              <w:rPr>
                <w:rFonts w:eastAsiaTheme="minorHAnsi" w:cs="Arial"/>
                <w:sz w:val="22"/>
                <w:szCs w:val="22"/>
              </w:rPr>
              <w:t xml:space="preserve"> for the councils </w:t>
            </w:r>
            <w:r w:rsidRPr="00EC1937">
              <w:rPr>
                <w:rFonts w:eastAsiaTheme="minorHAnsi" w:cs="Arial"/>
                <w:sz w:val="22"/>
                <w:szCs w:val="22"/>
              </w:rPr>
              <w:t>to commission a green belt assessment. Members will be advise</w:t>
            </w:r>
            <w:r w:rsidR="009F4DC1" w:rsidRPr="00EC1937">
              <w:rPr>
                <w:rFonts w:eastAsiaTheme="minorHAnsi" w:cs="Arial"/>
                <w:sz w:val="22"/>
                <w:szCs w:val="22"/>
              </w:rPr>
              <w:t xml:space="preserve">d as and when this is appropriate </w:t>
            </w:r>
            <w:r w:rsidRPr="00EC1937">
              <w:rPr>
                <w:rFonts w:eastAsiaTheme="minorHAnsi" w:cs="Arial"/>
                <w:sz w:val="22"/>
                <w:szCs w:val="22"/>
              </w:rPr>
              <w:t xml:space="preserve">and it is envisaged that once the work has commenced on the SHELAA </w:t>
            </w:r>
            <w:r w:rsidR="009F4DC1" w:rsidRPr="00EC1937">
              <w:rPr>
                <w:rFonts w:eastAsiaTheme="minorHAnsi" w:cs="Arial"/>
                <w:sz w:val="22"/>
                <w:szCs w:val="22"/>
              </w:rPr>
              <w:t>(see</w:t>
            </w:r>
            <w:r w:rsidRPr="00EC1937">
              <w:rPr>
                <w:rFonts w:eastAsiaTheme="minorHAnsi" w:cs="Arial"/>
                <w:sz w:val="22"/>
                <w:szCs w:val="22"/>
              </w:rPr>
              <w:t xml:space="preserve"> below), officers will be able to look at </w:t>
            </w:r>
            <w:r w:rsidR="009F4DC1" w:rsidRPr="00EC1937">
              <w:rPr>
                <w:rFonts w:eastAsiaTheme="minorHAnsi" w:cs="Arial"/>
                <w:sz w:val="22"/>
                <w:szCs w:val="22"/>
              </w:rPr>
              <w:t xml:space="preserve">the </w:t>
            </w:r>
            <w:r w:rsidRPr="00EC1937">
              <w:rPr>
                <w:rFonts w:eastAsiaTheme="minorHAnsi" w:cs="Arial"/>
                <w:sz w:val="22"/>
                <w:szCs w:val="22"/>
              </w:rPr>
              <w:t xml:space="preserve">potential future supply </w:t>
            </w:r>
            <w:r w:rsidR="009F4DC1" w:rsidRPr="00EC1937">
              <w:rPr>
                <w:rFonts w:eastAsiaTheme="minorHAnsi" w:cs="Arial"/>
                <w:sz w:val="22"/>
                <w:szCs w:val="22"/>
              </w:rPr>
              <w:t xml:space="preserve">of land </w:t>
            </w:r>
            <w:r w:rsidRPr="00EC1937">
              <w:rPr>
                <w:rFonts w:eastAsiaTheme="minorHAnsi" w:cs="Arial"/>
                <w:sz w:val="22"/>
                <w:szCs w:val="22"/>
              </w:rPr>
              <w:t xml:space="preserve">and take account of the need </w:t>
            </w:r>
            <w:r w:rsidR="009F4DC1" w:rsidRPr="00EC1937">
              <w:rPr>
                <w:rFonts w:eastAsiaTheme="minorHAnsi" w:cs="Arial"/>
                <w:sz w:val="22"/>
                <w:szCs w:val="22"/>
              </w:rPr>
              <w:t>for specific</w:t>
            </w:r>
            <w:r w:rsidRPr="00EC1937">
              <w:rPr>
                <w:rFonts w:eastAsiaTheme="minorHAnsi" w:cs="Arial"/>
                <w:sz w:val="22"/>
                <w:szCs w:val="22"/>
              </w:rPr>
              <w:t xml:space="preserve"> uses including housing and employment. Members will be fully informed throughout this process. </w:t>
            </w:r>
            <w:r w:rsidRPr="00EE0926">
              <w:rPr>
                <w:rFonts w:eastAsiaTheme="minorHAnsi" w:cs="Arial"/>
                <w:sz w:val="22"/>
                <w:szCs w:val="22"/>
              </w:rPr>
              <w:t xml:space="preserve"> </w:t>
            </w:r>
          </w:p>
          <w:p w14:paraId="428ABE76" w14:textId="77777777" w:rsidR="009F4DC1" w:rsidRPr="00EC1937" w:rsidRDefault="009F4DC1" w:rsidP="00FD2FEA">
            <w:pPr>
              <w:jc w:val="left"/>
              <w:rPr>
                <w:rFonts w:eastAsiaTheme="minorHAnsi" w:cs="Arial"/>
                <w:sz w:val="22"/>
                <w:szCs w:val="22"/>
              </w:rPr>
            </w:pPr>
          </w:p>
          <w:p w14:paraId="5FB99BF8" w14:textId="77777777" w:rsidR="004C0256" w:rsidRPr="00EC1937" w:rsidRDefault="00C8392A" w:rsidP="004C0256">
            <w:pPr>
              <w:rPr>
                <w:rFonts w:eastAsiaTheme="minorHAnsi" w:cs="Arial"/>
                <w:b/>
                <w:sz w:val="22"/>
                <w:szCs w:val="22"/>
              </w:rPr>
            </w:pPr>
            <w:r w:rsidRPr="00EC1937">
              <w:rPr>
                <w:rFonts w:eastAsiaTheme="minorHAnsi" w:cs="Arial"/>
                <w:b/>
                <w:sz w:val="22"/>
                <w:szCs w:val="22"/>
              </w:rPr>
              <w:t>RISK</w:t>
            </w:r>
          </w:p>
          <w:p w14:paraId="6EA15088" w14:textId="77777777" w:rsidR="004C0256" w:rsidRPr="00EC1937" w:rsidRDefault="004C0256" w:rsidP="004C0256">
            <w:pPr>
              <w:pStyle w:val="ListParagraph"/>
              <w:rPr>
                <w:rFonts w:cs="Arial"/>
                <w:sz w:val="22"/>
                <w:szCs w:val="22"/>
              </w:rPr>
            </w:pPr>
          </w:p>
          <w:p w14:paraId="3D9B70A3" w14:textId="3C5881CD" w:rsidR="00452DE8" w:rsidRDefault="00BE59D6" w:rsidP="00021B97">
            <w:pPr>
              <w:pStyle w:val="ListParagraph"/>
              <w:numPr>
                <w:ilvl w:val="0"/>
                <w:numId w:val="1"/>
              </w:numPr>
              <w:rPr>
                <w:rFonts w:cs="Arial"/>
                <w:sz w:val="22"/>
                <w:szCs w:val="22"/>
              </w:rPr>
            </w:pPr>
            <w:r w:rsidRPr="00EC1937">
              <w:rPr>
                <w:rFonts w:cs="Arial"/>
                <w:sz w:val="22"/>
                <w:szCs w:val="22"/>
              </w:rPr>
              <w:t xml:space="preserve">A comprehensive risk register </w:t>
            </w:r>
            <w:r w:rsidR="00E61E10" w:rsidRPr="00EC1937">
              <w:rPr>
                <w:rFonts w:cs="Arial"/>
                <w:sz w:val="22"/>
                <w:szCs w:val="22"/>
              </w:rPr>
              <w:t xml:space="preserve">is in place and currently there are no significant identified risks to the project. As the project progresses, any key risks will be reported. </w:t>
            </w:r>
          </w:p>
          <w:p w14:paraId="2A7857C9" w14:textId="25B00A57" w:rsidR="00F87761" w:rsidRDefault="00F87761" w:rsidP="00F87761">
            <w:pPr>
              <w:rPr>
                <w:rFonts w:cs="Arial"/>
                <w:sz w:val="22"/>
                <w:szCs w:val="22"/>
              </w:rPr>
            </w:pPr>
          </w:p>
          <w:p w14:paraId="1F8E9BC9" w14:textId="77777777" w:rsidR="00F87761" w:rsidRPr="00EC1937" w:rsidRDefault="00F87761" w:rsidP="00F87761">
            <w:pPr>
              <w:pBdr>
                <w:top w:val="single" w:sz="2" w:space="1" w:color="FFFFFF"/>
                <w:left w:val="single" w:sz="2" w:space="0" w:color="FFFFFF"/>
                <w:bottom w:val="single" w:sz="2" w:space="2" w:color="FFFFFF"/>
                <w:right w:val="single" w:sz="2" w:space="4" w:color="FFFFFF"/>
              </w:pBdr>
              <w:tabs>
                <w:tab w:val="left" w:pos="851"/>
              </w:tabs>
              <w:rPr>
                <w:rFonts w:cs="Arial"/>
                <w:b/>
                <w:sz w:val="22"/>
                <w:szCs w:val="22"/>
              </w:rPr>
            </w:pPr>
            <w:r w:rsidRPr="00EC1937">
              <w:rPr>
                <w:rFonts w:cs="Arial"/>
                <w:b/>
                <w:sz w:val="22"/>
                <w:szCs w:val="22"/>
              </w:rPr>
              <w:t xml:space="preserve">THE STRATEGIC HOUSING ECONOMIC LAND AVAILABILITY ASSESSMENT (SHELAA) </w:t>
            </w:r>
          </w:p>
          <w:p w14:paraId="3CFB258B" w14:textId="77777777" w:rsidR="00F87761" w:rsidRPr="00EC1937" w:rsidRDefault="00F87761" w:rsidP="00F87761">
            <w:pPr>
              <w:pBdr>
                <w:top w:val="single" w:sz="2" w:space="1" w:color="FFFFFF"/>
                <w:left w:val="single" w:sz="2" w:space="0" w:color="FFFFFF"/>
                <w:bottom w:val="single" w:sz="2" w:space="2" w:color="FFFFFF"/>
                <w:right w:val="single" w:sz="2" w:space="4" w:color="FFFFFF"/>
              </w:pBdr>
              <w:tabs>
                <w:tab w:val="left" w:pos="851"/>
              </w:tabs>
              <w:rPr>
                <w:rFonts w:cs="Arial"/>
                <w:b/>
                <w:sz w:val="22"/>
                <w:szCs w:val="22"/>
                <w:u w:val="single"/>
              </w:rPr>
            </w:pPr>
          </w:p>
          <w:p w14:paraId="09DC0FD4" w14:textId="77777777" w:rsidR="00F87761" w:rsidRPr="00EC1937" w:rsidRDefault="00F87761" w:rsidP="00F87761">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sz w:val="22"/>
                <w:szCs w:val="22"/>
              </w:rPr>
            </w:pPr>
            <w:r w:rsidRPr="00EC1937">
              <w:rPr>
                <w:rFonts w:cs="Arial"/>
                <w:sz w:val="22"/>
                <w:szCs w:val="22"/>
              </w:rPr>
              <w:t xml:space="preserve">The call for sites is a first start in developing the assessment of land availability to meet the future needs as identified as part of the technical evidence gathered ahead of plan-making. It looks at land which is suitable, available, and achievable to meet housing and economic needs and is an important step in plan preparation. </w:t>
            </w:r>
          </w:p>
          <w:p w14:paraId="5A57F2AF" w14:textId="77777777" w:rsidR="00F87761" w:rsidRPr="00EC1937" w:rsidRDefault="00F87761" w:rsidP="00F87761">
            <w:pPr>
              <w:pBdr>
                <w:top w:val="single" w:sz="2" w:space="1" w:color="FFFFFF"/>
                <w:left w:val="single" w:sz="2" w:space="0" w:color="FFFFFF"/>
                <w:bottom w:val="single" w:sz="2" w:space="2" w:color="FFFFFF"/>
                <w:right w:val="single" w:sz="2" w:space="4" w:color="FFFFFF"/>
              </w:pBdr>
              <w:tabs>
                <w:tab w:val="left" w:pos="851"/>
              </w:tabs>
              <w:rPr>
                <w:rFonts w:cs="Arial"/>
                <w:sz w:val="22"/>
                <w:szCs w:val="22"/>
              </w:rPr>
            </w:pPr>
          </w:p>
          <w:p w14:paraId="7B060607" w14:textId="77777777" w:rsidR="00F87761" w:rsidRPr="00EC1937" w:rsidRDefault="00F87761" w:rsidP="00F87761">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b/>
                <w:sz w:val="22"/>
                <w:szCs w:val="22"/>
                <w:u w:val="single"/>
              </w:rPr>
            </w:pPr>
            <w:r w:rsidRPr="00EC1937">
              <w:rPr>
                <w:rFonts w:cs="Arial"/>
                <w:sz w:val="22"/>
                <w:szCs w:val="22"/>
              </w:rPr>
              <w:t xml:space="preserve">PPG guides the methodology to be used when assessing land availability and the Central Lancs Team have prepared a database which will be populated with sites from across the Central Lancs footprint. Once this system has been endorsed by all three council officers, it will be populated with identified sites to be assessed and it will evolve and grow as the plan develops, with sites being assessed for certain uses. It is not the sites allocation policy; it’s more a system to collect basic criteria about sites. </w:t>
            </w:r>
          </w:p>
          <w:p w14:paraId="31222E4F" w14:textId="77777777" w:rsidR="00F87761" w:rsidRPr="00EC1937" w:rsidRDefault="00F87761" w:rsidP="00F87761">
            <w:pPr>
              <w:pStyle w:val="ListParagraph"/>
              <w:rPr>
                <w:rFonts w:cs="Arial"/>
                <w:b/>
                <w:sz w:val="22"/>
                <w:szCs w:val="22"/>
                <w:u w:val="single"/>
              </w:rPr>
            </w:pPr>
          </w:p>
          <w:p w14:paraId="563031CC" w14:textId="2DC414CC" w:rsidR="00F87761" w:rsidRDefault="00F87761" w:rsidP="00F87761">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sz w:val="22"/>
                <w:szCs w:val="22"/>
              </w:rPr>
            </w:pPr>
            <w:r w:rsidRPr="00EC1937">
              <w:rPr>
                <w:rFonts w:cs="Arial"/>
                <w:sz w:val="22"/>
                <w:szCs w:val="22"/>
              </w:rPr>
              <w:t xml:space="preserve">It is envisaged that the initial indications of sites with indicative use and level of supply for the new plan will be available in </w:t>
            </w:r>
            <w:r w:rsidR="00530CDC">
              <w:rPr>
                <w:rFonts w:cs="Arial"/>
                <w:sz w:val="22"/>
                <w:szCs w:val="22"/>
              </w:rPr>
              <w:t xml:space="preserve">June </w:t>
            </w:r>
            <w:r w:rsidRPr="00EC1937">
              <w:rPr>
                <w:rFonts w:cs="Arial"/>
                <w:sz w:val="22"/>
                <w:szCs w:val="22"/>
              </w:rPr>
              <w:t>2019 and these will be made available to members at the earliest opportunity</w:t>
            </w:r>
            <w:r w:rsidR="00530CDC">
              <w:rPr>
                <w:rFonts w:cs="Arial"/>
                <w:sz w:val="22"/>
                <w:szCs w:val="22"/>
              </w:rPr>
              <w:t xml:space="preserve"> for discussion and debate. </w:t>
            </w:r>
          </w:p>
          <w:p w14:paraId="073AE9DA" w14:textId="77777777" w:rsidR="00530CDC" w:rsidRPr="00530CDC" w:rsidRDefault="00530CDC" w:rsidP="00530CDC">
            <w:pPr>
              <w:pStyle w:val="ListParagraph"/>
              <w:rPr>
                <w:rFonts w:cs="Arial"/>
                <w:sz w:val="22"/>
                <w:szCs w:val="22"/>
              </w:rPr>
            </w:pPr>
          </w:p>
          <w:p w14:paraId="565EA05D" w14:textId="73CBF42E" w:rsidR="00530CDC" w:rsidRDefault="00530CDC" w:rsidP="00F87761">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sz w:val="22"/>
                <w:szCs w:val="22"/>
              </w:rPr>
            </w:pPr>
            <w:r>
              <w:rPr>
                <w:rFonts w:cs="Arial"/>
                <w:sz w:val="22"/>
                <w:szCs w:val="22"/>
              </w:rPr>
              <w:t xml:space="preserve">Working alongside this process, is the Integrated Sustainability Appraisal (SA) which is required by </w:t>
            </w:r>
            <w:r w:rsidR="004E4989">
              <w:rPr>
                <w:rFonts w:cs="Arial"/>
                <w:sz w:val="22"/>
                <w:szCs w:val="22"/>
              </w:rPr>
              <w:t>planning legislation</w:t>
            </w:r>
            <w:r>
              <w:rPr>
                <w:rFonts w:cs="Arial"/>
                <w:sz w:val="22"/>
                <w:szCs w:val="22"/>
              </w:rPr>
              <w:t xml:space="preserve"> as the </w:t>
            </w:r>
            <w:r w:rsidR="004E4989">
              <w:rPr>
                <w:rFonts w:cs="Arial"/>
                <w:sz w:val="22"/>
                <w:szCs w:val="22"/>
              </w:rPr>
              <w:t>methods</w:t>
            </w:r>
            <w:r>
              <w:rPr>
                <w:rFonts w:cs="Arial"/>
                <w:sz w:val="22"/>
                <w:szCs w:val="22"/>
              </w:rPr>
              <w:t xml:space="preserve"> to ensure the </w:t>
            </w:r>
            <w:r w:rsidR="004E4989">
              <w:rPr>
                <w:rFonts w:cs="Arial"/>
                <w:sz w:val="22"/>
                <w:szCs w:val="22"/>
              </w:rPr>
              <w:t>proposals</w:t>
            </w:r>
            <w:r>
              <w:rPr>
                <w:rFonts w:cs="Arial"/>
                <w:sz w:val="22"/>
                <w:szCs w:val="22"/>
              </w:rPr>
              <w:t xml:space="preserve"> within the local plan are sustainable, </w:t>
            </w:r>
            <w:r w:rsidR="004E4989">
              <w:rPr>
                <w:rFonts w:cs="Arial"/>
                <w:sz w:val="22"/>
                <w:szCs w:val="22"/>
              </w:rPr>
              <w:t>contributing</w:t>
            </w:r>
            <w:r>
              <w:rPr>
                <w:rFonts w:cs="Arial"/>
                <w:sz w:val="22"/>
                <w:szCs w:val="22"/>
              </w:rPr>
              <w:t xml:space="preserve"> to improvements in environmental, social and economic </w:t>
            </w:r>
            <w:r w:rsidR="004E4989">
              <w:rPr>
                <w:rFonts w:cs="Arial"/>
                <w:sz w:val="22"/>
                <w:szCs w:val="22"/>
              </w:rPr>
              <w:t>conditions</w:t>
            </w:r>
            <w:r>
              <w:rPr>
                <w:rFonts w:cs="Arial"/>
                <w:sz w:val="22"/>
                <w:szCs w:val="22"/>
              </w:rPr>
              <w:t xml:space="preserve"> as </w:t>
            </w:r>
            <w:r w:rsidR="004E4989">
              <w:rPr>
                <w:rFonts w:cs="Arial"/>
                <w:sz w:val="22"/>
                <w:szCs w:val="22"/>
              </w:rPr>
              <w:t>well</w:t>
            </w:r>
            <w:r>
              <w:rPr>
                <w:rFonts w:cs="Arial"/>
                <w:sz w:val="22"/>
                <w:szCs w:val="22"/>
              </w:rPr>
              <w:t xml:space="preserve"> as identifying and mitigating any </w:t>
            </w:r>
            <w:r w:rsidR="004E4989">
              <w:rPr>
                <w:rFonts w:cs="Arial"/>
                <w:sz w:val="22"/>
                <w:szCs w:val="22"/>
              </w:rPr>
              <w:t>potential</w:t>
            </w:r>
            <w:r>
              <w:rPr>
                <w:rFonts w:cs="Arial"/>
                <w:sz w:val="22"/>
                <w:szCs w:val="22"/>
              </w:rPr>
              <w:t xml:space="preserve"> adverse effects that the plan may have. </w:t>
            </w:r>
          </w:p>
          <w:p w14:paraId="634C067B" w14:textId="77777777" w:rsidR="00530CDC" w:rsidRPr="00530CDC" w:rsidRDefault="00530CDC" w:rsidP="00530CDC">
            <w:pPr>
              <w:pStyle w:val="ListParagraph"/>
              <w:rPr>
                <w:rFonts w:cs="Arial"/>
                <w:sz w:val="22"/>
                <w:szCs w:val="22"/>
              </w:rPr>
            </w:pPr>
          </w:p>
          <w:p w14:paraId="4B0393DB" w14:textId="4A327C55" w:rsidR="00530CDC" w:rsidRDefault="00530CDC" w:rsidP="00F87761">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sz w:val="22"/>
                <w:szCs w:val="22"/>
              </w:rPr>
            </w:pPr>
            <w:r>
              <w:rPr>
                <w:rFonts w:cs="Arial"/>
                <w:sz w:val="22"/>
                <w:szCs w:val="22"/>
              </w:rPr>
              <w:t xml:space="preserve">A Scoping report is being produced which sets out the methodology for the SA including the context, </w:t>
            </w:r>
            <w:r w:rsidR="004E4989">
              <w:rPr>
                <w:rFonts w:cs="Arial"/>
                <w:sz w:val="22"/>
                <w:szCs w:val="22"/>
              </w:rPr>
              <w:t>objectives and approach of the assessment.</w:t>
            </w:r>
          </w:p>
          <w:p w14:paraId="20A48918" w14:textId="77777777" w:rsidR="004E4989" w:rsidRPr="004E4989" w:rsidRDefault="004E4989" w:rsidP="004E4989">
            <w:pPr>
              <w:pStyle w:val="ListParagraph"/>
              <w:rPr>
                <w:rFonts w:cs="Arial"/>
                <w:sz w:val="22"/>
                <w:szCs w:val="22"/>
              </w:rPr>
            </w:pPr>
          </w:p>
          <w:p w14:paraId="4E8D5FE4" w14:textId="47D1311F" w:rsidR="004E4989" w:rsidRPr="00F87761" w:rsidRDefault="004E4989" w:rsidP="00F87761">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rFonts w:cs="Arial"/>
                <w:sz w:val="22"/>
                <w:szCs w:val="22"/>
              </w:rPr>
            </w:pPr>
            <w:r>
              <w:rPr>
                <w:rFonts w:cs="Arial"/>
                <w:sz w:val="22"/>
                <w:szCs w:val="22"/>
              </w:rPr>
              <w:t xml:space="preserve">The scoping stage is a requirement of the process, although a scoping paper is not necessarily required, it is considered best practice and is the mechanism for consulting with ‘consultation bodies’ to ensure the SA is proportionate and relevant to the local plan being assessed. The consultation with these bodes (who are defined by Regulation 4 of the Environmental Assessment of Plans and Programmes Regulations 2004 and include Historic England, Natural England and the Environment Agency) is expected to take place in June 2019. </w:t>
            </w:r>
          </w:p>
          <w:p w14:paraId="0F3CE12E" w14:textId="77777777" w:rsidR="00BE59D6" w:rsidRPr="00EC1937" w:rsidRDefault="00BE59D6" w:rsidP="00BE59D6">
            <w:pPr>
              <w:rPr>
                <w:rFonts w:eastAsiaTheme="minorHAnsi" w:cs="Arial"/>
                <w:sz w:val="22"/>
                <w:szCs w:val="22"/>
              </w:rPr>
            </w:pPr>
          </w:p>
          <w:p w14:paraId="2D974B86" w14:textId="77777777" w:rsidR="004C0256" w:rsidRPr="00EC1937" w:rsidRDefault="00C8392A" w:rsidP="004C0256">
            <w:pPr>
              <w:rPr>
                <w:rFonts w:eastAsiaTheme="minorHAnsi" w:cs="Arial"/>
                <w:b/>
                <w:sz w:val="22"/>
                <w:szCs w:val="22"/>
              </w:rPr>
            </w:pPr>
            <w:r w:rsidRPr="00EC1937">
              <w:rPr>
                <w:rFonts w:eastAsiaTheme="minorHAnsi" w:cs="Arial"/>
                <w:b/>
                <w:sz w:val="22"/>
                <w:szCs w:val="22"/>
              </w:rPr>
              <w:t xml:space="preserve">ISSUES AND OPTIONS </w:t>
            </w:r>
          </w:p>
          <w:p w14:paraId="203914CB" w14:textId="77777777" w:rsidR="004C0256" w:rsidRPr="00EC1937" w:rsidRDefault="004C0256" w:rsidP="004C0256">
            <w:pPr>
              <w:rPr>
                <w:rFonts w:eastAsiaTheme="minorHAnsi" w:cs="Arial"/>
                <w:b/>
                <w:sz w:val="22"/>
                <w:szCs w:val="22"/>
                <w:u w:val="single"/>
              </w:rPr>
            </w:pPr>
          </w:p>
          <w:p w14:paraId="231AA449" w14:textId="18A236FE" w:rsidR="008176E4" w:rsidRPr="00EC1937" w:rsidRDefault="008176E4" w:rsidP="00EC1937">
            <w:pPr>
              <w:pStyle w:val="ListParagraph"/>
              <w:numPr>
                <w:ilvl w:val="0"/>
                <w:numId w:val="1"/>
              </w:numPr>
              <w:rPr>
                <w:rFonts w:eastAsiaTheme="minorHAnsi" w:cs="Arial"/>
                <w:b/>
                <w:sz w:val="22"/>
                <w:szCs w:val="22"/>
                <w:u w:val="single"/>
              </w:rPr>
            </w:pPr>
            <w:r w:rsidRPr="00EC1937">
              <w:rPr>
                <w:rFonts w:eastAsiaTheme="minorHAnsi" w:cs="Arial"/>
                <w:sz w:val="22"/>
                <w:szCs w:val="22"/>
              </w:rPr>
              <w:t xml:space="preserve">Work has commenced on the preparatory work required for the Issues and Options </w:t>
            </w:r>
            <w:r w:rsidR="00FD2FEA" w:rsidRPr="00EC1937">
              <w:rPr>
                <w:rFonts w:eastAsiaTheme="minorHAnsi" w:cs="Arial"/>
                <w:sz w:val="22"/>
                <w:szCs w:val="22"/>
              </w:rPr>
              <w:t xml:space="preserve">Consultation </w:t>
            </w:r>
            <w:r w:rsidRPr="00EC1937">
              <w:rPr>
                <w:rFonts w:eastAsiaTheme="minorHAnsi" w:cs="Arial"/>
                <w:sz w:val="22"/>
                <w:szCs w:val="22"/>
              </w:rPr>
              <w:t xml:space="preserve">Stage and a series of workshops have taken place with the three Local Plan (member) </w:t>
            </w:r>
            <w:r w:rsidR="00FD2FEA" w:rsidRPr="00EC1937">
              <w:rPr>
                <w:rFonts w:eastAsiaTheme="minorHAnsi" w:cs="Arial"/>
                <w:sz w:val="22"/>
                <w:szCs w:val="22"/>
              </w:rPr>
              <w:t xml:space="preserve">Working </w:t>
            </w:r>
            <w:r w:rsidR="009F4DC1" w:rsidRPr="00EC1937">
              <w:rPr>
                <w:rFonts w:eastAsiaTheme="minorHAnsi" w:cs="Arial"/>
                <w:sz w:val="22"/>
                <w:szCs w:val="22"/>
              </w:rPr>
              <w:t>Groups and</w:t>
            </w:r>
            <w:r w:rsidRPr="00EC1937">
              <w:rPr>
                <w:rFonts w:eastAsiaTheme="minorHAnsi" w:cs="Arial"/>
                <w:sz w:val="22"/>
                <w:szCs w:val="22"/>
              </w:rPr>
              <w:t xml:space="preserve"> the JAC following this </w:t>
            </w:r>
            <w:r w:rsidR="006D7357" w:rsidRPr="00EC1937">
              <w:rPr>
                <w:rFonts w:eastAsiaTheme="minorHAnsi" w:cs="Arial"/>
                <w:sz w:val="22"/>
                <w:szCs w:val="22"/>
              </w:rPr>
              <w:t xml:space="preserve">meeting. </w:t>
            </w:r>
            <w:r w:rsidRPr="00EC1937">
              <w:rPr>
                <w:rFonts w:cs="Arial"/>
                <w:sz w:val="22"/>
                <w:szCs w:val="22"/>
                <w:lang w:val="en"/>
              </w:rPr>
              <w:t>These workshop</w:t>
            </w:r>
            <w:r w:rsidR="00FD2FEA" w:rsidRPr="00EC1937">
              <w:rPr>
                <w:rFonts w:cs="Arial"/>
                <w:sz w:val="22"/>
                <w:szCs w:val="22"/>
                <w:lang w:val="en"/>
              </w:rPr>
              <w:t>s</w:t>
            </w:r>
            <w:r w:rsidRPr="00EC1937">
              <w:rPr>
                <w:rFonts w:cs="Arial"/>
                <w:sz w:val="22"/>
                <w:szCs w:val="22"/>
                <w:lang w:val="en"/>
              </w:rPr>
              <w:t xml:space="preserve"> </w:t>
            </w:r>
            <w:r w:rsidR="00EC1937">
              <w:rPr>
                <w:rFonts w:cs="Arial"/>
                <w:sz w:val="22"/>
                <w:szCs w:val="22"/>
                <w:lang w:val="en"/>
              </w:rPr>
              <w:t xml:space="preserve">were </w:t>
            </w:r>
            <w:r w:rsidRPr="00EC1937">
              <w:rPr>
                <w:rFonts w:cs="Arial"/>
                <w:sz w:val="22"/>
                <w:szCs w:val="22"/>
                <w:lang w:val="en"/>
              </w:rPr>
              <w:t xml:space="preserve">important as they are the first stage in collecting members’ views about what the new plan should aim to achieve, picking up the ‘big ticket’ issues and ensuring any omissions or areas to improve from the previous local plan are addressed. </w:t>
            </w:r>
          </w:p>
          <w:p w14:paraId="501D5B83" w14:textId="77777777" w:rsidR="008176E4" w:rsidRPr="00EC1937" w:rsidRDefault="008176E4" w:rsidP="008176E4">
            <w:pPr>
              <w:pStyle w:val="ListParagraph"/>
              <w:rPr>
                <w:rFonts w:cs="Arial"/>
                <w:sz w:val="22"/>
                <w:szCs w:val="22"/>
                <w:lang w:val="en"/>
              </w:rPr>
            </w:pPr>
          </w:p>
          <w:p w14:paraId="0CA255F2" w14:textId="77777777" w:rsidR="00530CDC" w:rsidRPr="00530CDC" w:rsidRDefault="008176E4" w:rsidP="00530CDC">
            <w:pPr>
              <w:pStyle w:val="ListParagraph"/>
              <w:numPr>
                <w:ilvl w:val="0"/>
                <w:numId w:val="1"/>
              </w:numPr>
              <w:rPr>
                <w:rFonts w:eastAsiaTheme="minorHAnsi" w:cs="Arial"/>
                <w:b/>
                <w:sz w:val="22"/>
                <w:szCs w:val="22"/>
                <w:u w:val="single"/>
              </w:rPr>
            </w:pPr>
            <w:r w:rsidRPr="00EC1937">
              <w:rPr>
                <w:rFonts w:cs="Arial"/>
                <w:sz w:val="22"/>
                <w:szCs w:val="22"/>
                <w:lang w:val="en"/>
              </w:rPr>
              <w:t xml:space="preserve">The information gathered from engagement will </w:t>
            </w:r>
            <w:r w:rsidR="00BE59D6" w:rsidRPr="00EC1937">
              <w:rPr>
                <w:rFonts w:cs="Arial"/>
                <w:sz w:val="22"/>
                <w:szCs w:val="22"/>
                <w:lang w:val="en"/>
              </w:rPr>
              <w:t xml:space="preserve">guide the development of an ‘Issues and Options Consultation Paper’ which will set the scene across Central </w:t>
            </w:r>
            <w:r w:rsidR="00605A85" w:rsidRPr="00EC1937">
              <w:rPr>
                <w:rFonts w:cs="Arial"/>
                <w:sz w:val="22"/>
                <w:szCs w:val="22"/>
                <w:lang w:val="en"/>
              </w:rPr>
              <w:t>Lancashire,</w:t>
            </w:r>
            <w:r w:rsidR="00BE59D6" w:rsidRPr="00EC1937">
              <w:rPr>
                <w:rFonts w:cs="Arial"/>
                <w:sz w:val="22"/>
                <w:szCs w:val="22"/>
                <w:lang w:val="en"/>
              </w:rPr>
              <w:t xml:space="preserve"> looking at the delivery of the existing plan and then generate questions</w:t>
            </w:r>
            <w:r w:rsidR="00530CDC">
              <w:rPr>
                <w:rFonts w:cs="Arial"/>
                <w:sz w:val="22"/>
                <w:szCs w:val="22"/>
                <w:lang w:val="en"/>
              </w:rPr>
              <w:t xml:space="preserve"> for our consultees</w:t>
            </w:r>
            <w:r w:rsidR="00BE59D6" w:rsidRPr="00530CDC">
              <w:rPr>
                <w:rFonts w:cs="Arial"/>
                <w:sz w:val="22"/>
                <w:szCs w:val="22"/>
                <w:lang w:val="en"/>
              </w:rPr>
              <w:t xml:space="preserve"> and issues for considerations for the new plan including objectives and </w:t>
            </w:r>
            <w:r w:rsidR="00605A85" w:rsidRPr="00530CDC">
              <w:rPr>
                <w:rFonts w:cs="Arial"/>
                <w:sz w:val="22"/>
                <w:szCs w:val="22"/>
                <w:lang w:val="en"/>
              </w:rPr>
              <w:t>policies.</w:t>
            </w:r>
          </w:p>
          <w:p w14:paraId="4AC7E2CE" w14:textId="77777777" w:rsidR="00530CDC" w:rsidRPr="00530CDC" w:rsidRDefault="00530CDC" w:rsidP="00530CDC">
            <w:pPr>
              <w:pStyle w:val="ListParagraph"/>
              <w:rPr>
                <w:rFonts w:cs="Arial"/>
                <w:sz w:val="22"/>
                <w:szCs w:val="22"/>
                <w:lang w:val="en"/>
              </w:rPr>
            </w:pPr>
          </w:p>
          <w:p w14:paraId="6A50A2B4" w14:textId="51AD9E64" w:rsidR="00EC1937" w:rsidRPr="00530CDC" w:rsidRDefault="00EC1937" w:rsidP="00530CDC">
            <w:pPr>
              <w:pStyle w:val="ListParagraph"/>
              <w:numPr>
                <w:ilvl w:val="0"/>
                <w:numId w:val="1"/>
              </w:numPr>
              <w:rPr>
                <w:rFonts w:eastAsiaTheme="minorHAnsi" w:cs="Arial"/>
                <w:b/>
                <w:sz w:val="22"/>
                <w:szCs w:val="22"/>
                <w:u w:val="single"/>
              </w:rPr>
            </w:pPr>
            <w:r w:rsidRPr="00530CDC">
              <w:rPr>
                <w:rFonts w:cs="Arial"/>
                <w:sz w:val="22"/>
                <w:szCs w:val="22"/>
                <w:lang w:val="en"/>
              </w:rPr>
              <w:t xml:space="preserve"> This paper will include ‘site suggestions’ from each of the three boroughs following the detailed assessment of sites by officers and subsequent internal considerations and approvals by each of the three respective </w:t>
            </w:r>
            <w:r w:rsidR="00F87761" w:rsidRPr="00530CDC">
              <w:rPr>
                <w:rFonts w:cs="Arial"/>
                <w:sz w:val="22"/>
                <w:szCs w:val="22"/>
                <w:lang w:val="en"/>
              </w:rPr>
              <w:t>executive</w:t>
            </w:r>
            <w:r w:rsidRPr="00530CDC">
              <w:rPr>
                <w:rFonts w:cs="Arial"/>
                <w:sz w:val="22"/>
                <w:szCs w:val="22"/>
                <w:lang w:val="en"/>
              </w:rPr>
              <w:t xml:space="preserve"> cabinets. </w:t>
            </w:r>
          </w:p>
          <w:p w14:paraId="327EB7A5" w14:textId="77777777" w:rsidR="00EC1937" w:rsidRPr="00EC1937" w:rsidRDefault="00EC1937" w:rsidP="00EC1937">
            <w:pPr>
              <w:pStyle w:val="ListParagraph"/>
              <w:rPr>
                <w:rFonts w:cs="Arial"/>
                <w:sz w:val="22"/>
                <w:szCs w:val="22"/>
                <w:lang w:val="en"/>
              </w:rPr>
            </w:pPr>
          </w:p>
          <w:p w14:paraId="67CC7C8E" w14:textId="2ABE4FC7" w:rsidR="00EC1937" w:rsidRPr="00EC1937" w:rsidRDefault="00EC1937" w:rsidP="00021B97">
            <w:pPr>
              <w:pStyle w:val="ListParagraph"/>
              <w:numPr>
                <w:ilvl w:val="0"/>
                <w:numId w:val="1"/>
              </w:numPr>
              <w:rPr>
                <w:rFonts w:eastAsiaTheme="minorHAnsi" w:cs="Arial"/>
                <w:b/>
                <w:sz w:val="22"/>
                <w:szCs w:val="22"/>
                <w:u w:val="single"/>
              </w:rPr>
            </w:pPr>
            <w:r>
              <w:rPr>
                <w:rFonts w:eastAsiaTheme="minorHAnsi" w:cs="Arial"/>
                <w:sz w:val="22"/>
                <w:szCs w:val="22"/>
              </w:rPr>
              <w:t>The Issues and Options consultation will be via a digital platform, called ‘Citizens</w:t>
            </w:r>
            <w:r w:rsidR="00F87761">
              <w:rPr>
                <w:rFonts w:eastAsiaTheme="minorHAnsi" w:cs="Arial"/>
                <w:sz w:val="22"/>
                <w:szCs w:val="22"/>
              </w:rPr>
              <w:t>p</w:t>
            </w:r>
            <w:r>
              <w:rPr>
                <w:rFonts w:eastAsiaTheme="minorHAnsi" w:cs="Arial"/>
                <w:sz w:val="22"/>
                <w:szCs w:val="22"/>
              </w:rPr>
              <w:t xml:space="preserve">ace’. This is the software used by GMCA recently and is proven to be user </w:t>
            </w:r>
            <w:r w:rsidR="00F87761">
              <w:rPr>
                <w:rFonts w:eastAsiaTheme="minorHAnsi" w:cs="Arial"/>
                <w:sz w:val="22"/>
                <w:szCs w:val="22"/>
              </w:rPr>
              <w:t>friendly</w:t>
            </w:r>
            <w:r>
              <w:rPr>
                <w:rFonts w:eastAsiaTheme="minorHAnsi" w:cs="Arial"/>
                <w:sz w:val="22"/>
                <w:szCs w:val="22"/>
              </w:rPr>
              <w:t xml:space="preserve">, has great </w:t>
            </w:r>
            <w:r w:rsidR="00F87761">
              <w:rPr>
                <w:rFonts w:eastAsiaTheme="minorHAnsi" w:cs="Arial"/>
                <w:sz w:val="22"/>
                <w:szCs w:val="22"/>
              </w:rPr>
              <w:t>functionality</w:t>
            </w:r>
            <w:r>
              <w:rPr>
                <w:rFonts w:eastAsiaTheme="minorHAnsi" w:cs="Arial"/>
                <w:sz w:val="22"/>
                <w:szCs w:val="22"/>
              </w:rPr>
              <w:t xml:space="preserve"> to be attractive and more interesting than other more ‘basic </w:t>
            </w:r>
            <w:r w:rsidR="00F87761">
              <w:rPr>
                <w:rFonts w:eastAsiaTheme="minorHAnsi" w:cs="Arial"/>
                <w:sz w:val="22"/>
                <w:szCs w:val="22"/>
              </w:rPr>
              <w:t>‘methods</w:t>
            </w:r>
            <w:r>
              <w:rPr>
                <w:rFonts w:eastAsiaTheme="minorHAnsi" w:cs="Arial"/>
                <w:sz w:val="22"/>
                <w:szCs w:val="22"/>
              </w:rPr>
              <w:t xml:space="preserve"> like PDFs and </w:t>
            </w:r>
            <w:r w:rsidR="00F87761">
              <w:rPr>
                <w:rFonts w:eastAsiaTheme="minorHAnsi" w:cs="Arial"/>
                <w:sz w:val="22"/>
                <w:szCs w:val="22"/>
              </w:rPr>
              <w:t>will</w:t>
            </w:r>
            <w:r>
              <w:rPr>
                <w:rFonts w:eastAsiaTheme="minorHAnsi" w:cs="Arial"/>
                <w:sz w:val="22"/>
                <w:szCs w:val="22"/>
              </w:rPr>
              <w:t xml:space="preserve"> vastly reduce the </w:t>
            </w:r>
            <w:r w:rsidR="00F87761">
              <w:rPr>
                <w:rFonts w:eastAsiaTheme="minorHAnsi" w:cs="Arial"/>
                <w:sz w:val="22"/>
                <w:szCs w:val="22"/>
              </w:rPr>
              <w:t>volume</w:t>
            </w:r>
            <w:r>
              <w:rPr>
                <w:rFonts w:eastAsiaTheme="minorHAnsi" w:cs="Arial"/>
                <w:sz w:val="22"/>
                <w:szCs w:val="22"/>
              </w:rPr>
              <w:t xml:space="preserve"> of back-office processed in </w:t>
            </w:r>
            <w:r w:rsidR="00F87761">
              <w:rPr>
                <w:rFonts w:eastAsiaTheme="minorHAnsi" w:cs="Arial"/>
                <w:sz w:val="22"/>
                <w:szCs w:val="22"/>
              </w:rPr>
              <w:t>terms</w:t>
            </w:r>
            <w:r>
              <w:rPr>
                <w:rFonts w:eastAsiaTheme="minorHAnsi" w:cs="Arial"/>
                <w:sz w:val="22"/>
                <w:szCs w:val="22"/>
              </w:rPr>
              <w:t xml:space="preserve"> of assimilating and </w:t>
            </w:r>
            <w:r w:rsidR="00F87761">
              <w:rPr>
                <w:rFonts w:eastAsiaTheme="minorHAnsi" w:cs="Arial"/>
                <w:sz w:val="22"/>
                <w:szCs w:val="22"/>
              </w:rPr>
              <w:t>analysing</w:t>
            </w:r>
            <w:r>
              <w:rPr>
                <w:rFonts w:eastAsiaTheme="minorHAnsi" w:cs="Arial"/>
                <w:sz w:val="22"/>
                <w:szCs w:val="22"/>
              </w:rPr>
              <w:t xml:space="preserve"> </w:t>
            </w:r>
            <w:r w:rsidR="00F87761">
              <w:rPr>
                <w:rFonts w:eastAsiaTheme="minorHAnsi" w:cs="Arial"/>
                <w:sz w:val="22"/>
                <w:szCs w:val="22"/>
              </w:rPr>
              <w:t>representations</w:t>
            </w:r>
            <w:r>
              <w:rPr>
                <w:rFonts w:eastAsiaTheme="minorHAnsi" w:cs="Arial"/>
                <w:sz w:val="22"/>
                <w:szCs w:val="22"/>
              </w:rPr>
              <w:t>.</w:t>
            </w:r>
            <w:r w:rsidR="008C23E4">
              <w:rPr>
                <w:rFonts w:eastAsiaTheme="minorHAnsi" w:cs="Arial"/>
                <w:sz w:val="22"/>
                <w:szCs w:val="22"/>
              </w:rPr>
              <w:t xml:space="preserve"> This will help with </w:t>
            </w:r>
          </w:p>
          <w:p w14:paraId="08044F20" w14:textId="77777777" w:rsidR="00EC1937" w:rsidRPr="00EC1937" w:rsidRDefault="00EC1937" w:rsidP="00EC1937">
            <w:pPr>
              <w:pStyle w:val="ListParagraph"/>
              <w:rPr>
                <w:rFonts w:eastAsiaTheme="minorHAnsi" w:cs="Arial"/>
                <w:b/>
                <w:sz w:val="22"/>
                <w:szCs w:val="22"/>
                <w:u w:val="single"/>
              </w:rPr>
            </w:pPr>
          </w:p>
          <w:p w14:paraId="50072759" w14:textId="550C75CC" w:rsidR="008C23E4" w:rsidRPr="008C23E4" w:rsidRDefault="00EC1937" w:rsidP="008C23E4">
            <w:pPr>
              <w:pStyle w:val="ListParagraph"/>
              <w:numPr>
                <w:ilvl w:val="0"/>
                <w:numId w:val="1"/>
              </w:numPr>
              <w:rPr>
                <w:rFonts w:eastAsiaTheme="minorHAnsi" w:cs="Arial"/>
                <w:b/>
                <w:sz w:val="22"/>
                <w:szCs w:val="22"/>
                <w:u w:val="single"/>
              </w:rPr>
            </w:pPr>
            <w:r>
              <w:rPr>
                <w:rFonts w:eastAsiaTheme="minorHAnsi" w:cs="Arial"/>
                <w:sz w:val="22"/>
                <w:szCs w:val="22"/>
              </w:rPr>
              <w:t xml:space="preserve">The key message will be to </w:t>
            </w:r>
            <w:r w:rsidR="00F87761">
              <w:rPr>
                <w:rFonts w:eastAsiaTheme="minorHAnsi" w:cs="Arial"/>
                <w:sz w:val="22"/>
                <w:szCs w:val="22"/>
              </w:rPr>
              <w:t>encourage</w:t>
            </w:r>
            <w:r>
              <w:rPr>
                <w:rFonts w:eastAsiaTheme="minorHAnsi" w:cs="Arial"/>
                <w:sz w:val="22"/>
                <w:szCs w:val="22"/>
              </w:rPr>
              <w:t xml:space="preserve"> all those who wish to submit their views to the </w:t>
            </w:r>
            <w:r w:rsidR="00F87761">
              <w:rPr>
                <w:rFonts w:eastAsiaTheme="minorHAnsi" w:cs="Arial"/>
                <w:sz w:val="22"/>
                <w:szCs w:val="22"/>
              </w:rPr>
              <w:t>consultation</w:t>
            </w:r>
            <w:r>
              <w:rPr>
                <w:rFonts w:eastAsiaTheme="minorHAnsi" w:cs="Arial"/>
                <w:sz w:val="22"/>
                <w:szCs w:val="22"/>
              </w:rPr>
              <w:t xml:space="preserve"> </w:t>
            </w:r>
            <w:r w:rsidR="008C23E4">
              <w:rPr>
                <w:rFonts w:eastAsiaTheme="minorHAnsi" w:cs="Arial"/>
                <w:sz w:val="22"/>
                <w:szCs w:val="22"/>
              </w:rPr>
              <w:t xml:space="preserve">via the website and </w:t>
            </w:r>
            <w:r w:rsidR="00F87761">
              <w:rPr>
                <w:rFonts w:eastAsiaTheme="minorHAnsi" w:cs="Arial"/>
                <w:sz w:val="22"/>
                <w:szCs w:val="22"/>
              </w:rPr>
              <w:t>help</w:t>
            </w:r>
            <w:r w:rsidR="008C23E4">
              <w:rPr>
                <w:rFonts w:eastAsiaTheme="minorHAnsi" w:cs="Arial"/>
                <w:sz w:val="22"/>
                <w:szCs w:val="22"/>
              </w:rPr>
              <w:t xml:space="preserve"> and advice will be available to assist </w:t>
            </w:r>
            <w:r w:rsidR="00F87761">
              <w:rPr>
                <w:rFonts w:eastAsiaTheme="minorHAnsi" w:cs="Arial"/>
                <w:sz w:val="22"/>
                <w:szCs w:val="22"/>
              </w:rPr>
              <w:t>customers,</w:t>
            </w:r>
            <w:r w:rsidR="008C23E4">
              <w:rPr>
                <w:rFonts w:eastAsiaTheme="minorHAnsi" w:cs="Arial"/>
                <w:sz w:val="22"/>
                <w:szCs w:val="22"/>
              </w:rPr>
              <w:t xml:space="preserve"> stakeholders etc to do this. Paper copies will be available for those unable to use the online portal however it is expected this will be in a minority of cases. </w:t>
            </w:r>
          </w:p>
          <w:p w14:paraId="6C16594E" w14:textId="082F1FD3" w:rsidR="008176E4" w:rsidRPr="00EE0926" w:rsidRDefault="008176E4" w:rsidP="00EE0926">
            <w:pPr>
              <w:rPr>
                <w:rFonts w:eastAsiaTheme="minorHAnsi" w:cs="Arial"/>
                <w:b/>
                <w:sz w:val="22"/>
                <w:szCs w:val="22"/>
                <w:u w:val="single"/>
              </w:rPr>
            </w:pPr>
          </w:p>
          <w:p w14:paraId="306CEDA3" w14:textId="21ECC0B9" w:rsidR="008176E4" w:rsidRPr="00EC1937" w:rsidRDefault="00605A85" w:rsidP="00021B97">
            <w:pPr>
              <w:pStyle w:val="ListParagraph"/>
              <w:numPr>
                <w:ilvl w:val="0"/>
                <w:numId w:val="1"/>
              </w:numPr>
              <w:rPr>
                <w:rFonts w:eastAsiaTheme="minorHAnsi" w:cs="Arial"/>
                <w:sz w:val="22"/>
                <w:szCs w:val="22"/>
              </w:rPr>
            </w:pPr>
            <w:r w:rsidRPr="00EC1937">
              <w:rPr>
                <w:rFonts w:eastAsiaTheme="minorHAnsi" w:cs="Arial"/>
                <w:sz w:val="22"/>
                <w:szCs w:val="22"/>
              </w:rPr>
              <w:t>Accompanying the Issues and Options consultation paper</w:t>
            </w:r>
            <w:r w:rsidR="00E87E0A" w:rsidRPr="00EC1937">
              <w:rPr>
                <w:rFonts w:eastAsiaTheme="minorHAnsi" w:cs="Arial"/>
                <w:sz w:val="22"/>
                <w:szCs w:val="22"/>
              </w:rPr>
              <w:t xml:space="preserve"> will be the first tra</w:t>
            </w:r>
            <w:r w:rsidR="006D7357" w:rsidRPr="00EC1937">
              <w:rPr>
                <w:rFonts w:eastAsiaTheme="minorHAnsi" w:cs="Arial"/>
                <w:sz w:val="22"/>
                <w:szCs w:val="22"/>
              </w:rPr>
              <w:t xml:space="preserve">nche of site suggestions. </w:t>
            </w:r>
          </w:p>
          <w:p w14:paraId="5DE55A0F" w14:textId="77777777" w:rsidR="006D7357" w:rsidRPr="00EC1937" w:rsidRDefault="006D7357" w:rsidP="006D7357">
            <w:pPr>
              <w:pStyle w:val="ListParagraph"/>
              <w:rPr>
                <w:rFonts w:eastAsiaTheme="minorHAnsi" w:cs="Arial"/>
                <w:sz w:val="22"/>
                <w:szCs w:val="22"/>
              </w:rPr>
            </w:pPr>
          </w:p>
          <w:p w14:paraId="42BCD51B" w14:textId="4960BF7B" w:rsidR="006D7357" w:rsidRPr="00EC1937" w:rsidRDefault="006D7357" w:rsidP="00021B97">
            <w:pPr>
              <w:pStyle w:val="ListParagraph"/>
              <w:numPr>
                <w:ilvl w:val="0"/>
                <w:numId w:val="1"/>
              </w:numPr>
              <w:rPr>
                <w:rFonts w:eastAsiaTheme="minorHAnsi" w:cs="Arial"/>
                <w:sz w:val="22"/>
                <w:szCs w:val="22"/>
              </w:rPr>
            </w:pPr>
            <w:r w:rsidRPr="00EC1937">
              <w:rPr>
                <w:rFonts w:eastAsiaTheme="minorHAnsi" w:cs="Arial"/>
                <w:sz w:val="22"/>
                <w:szCs w:val="22"/>
              </w:rPr>
              <w:t>F</w:t>
            </w:r>
            <w:r w:rsidR="00EE0926">
              <w:rPr>
                <w:rFonts w:eastAsiaTheme="minorHAnsi" w:cs="Arial"/>
                <w:sz w:val="22"/>
                <w:szCs w:val="22"/>
              </w:rPr>
              <w:t xml:space="preserve">ull </w:t>
            </w:r>
            <w:r w:rsidRPr="00EC1937">
              <w:rPr>
                <w:rFonts w:eastAsiaTheme="minorHAnsi" w:cs="Arial"/>
                <w:sz w:val="22"/>
                <w:szCs w:val="22"/>
              </w:rPr>
              <w:t xml:space="preserve">details regarding </w:t>
            </w:r>
            <w:r w:rsidR="006F35F9">
              <w:rPr>
                <w:rFonts w:eastAsiaTheme="minorHAnsi" w:cs="Arial"/>
                <w:sz w:val="22"/>
                <w:szCs w:val="22"/>
              </w:rPr>
              <w:t xml:space="preserve">the </w:t>
            </w:r>
            <w:r w:rsidRPr="00EC1937">
              <w:rPr>
                <w:rFonts w:eastAsiaTheme="minorHAnsi" w:cs="Arial"/>
                <w:sz w:val="22"/>
                <w:szCs w:val="22"/>
              </w:rPr>
              <w:t>Issues and Options</w:t>
            </w:r>
            <w:r w:rsidR="006F35F9">
              <w:rPr>
                <w:rFonts w:eastAsiaTheme="minorHAnsi" w:cs="Arial"/>
                <w:sz w:val="22"/>
                <w:szCs w:val="22"/>
              </w:rPr>
              <w:t xml:space="preserve"> Consultation</w:t>
            </w:r>
            <w:r w:rsidRPr="00EC1937">
              <w:rPr>
                <w:rFonts w:eastAsiaTheme="minorHAnsi" w:cs="Arial"/>
                <w:sz w:val="22"/>
                <w:szCs w:val="22"/>
              </w:rPr>
              <w:t xml:space="preserve"> will follow at a future JAC meeting and the consultation</w:t>
            </w:r>
            <w:r w:rsidR="00530CDC">
              <w:rPr>
                <w:rFonts w:eastAsiaTheme="minorHAnsi" w:cs="Arial"/>
                <w:sz w:val="22"/>
                <w:szCs w:val="22"/>
              </w:rPr>
              <w:t xml:space="preserve"> materials </w:t>
            </w:r>
            <w:r w:rsidRPr="00EC1937">
              <w:rPr>
                <w:rFonts w:eastAsiaTheme="minorHAnsi" w:cs="Arial"/>
                <w:sz w:val="22"/>
                <w:szCs w:val="22"/>
              </w:rPr>
              <w:t xml:space="preserve">and site suggestions will be subject to endorsement by JAC and formal approval by all 3 councils. </w:t>
            </w:r>
          </w:p>
          <w:p w14:paraId="6148369C" w14:textId="77777777" w:rsidR="00BE59D6" w:rsidRPr="00EC1937" w:rsidRDefault="00BE59D6" w:rsidP="00BE59D6">
            <w:pPr>
              <w:rPr>
                <w:rFonts w:eastAsiaTheme="minorHAnsi" w:cs="Arial"/>
                <w:sz w:val="22"/>
                <w:szCs w:val="22"/>
              </w:rPr>
            </w:pPr>
          </w:p>
          <w:p w14:paraId="20E42D3C" w14:textId="77777777" w:rsidR="008176E4" w:rsidRPr="00EC1937" w:rsidRDefault="008176E4" w:rsidP="00F87761">
            <w:pPr>
              <w:pBdr>
                <w:top w:val="single" w:sz="2" w:space="1" w:color="FFFFFF"/>
                <w:left w:val="single" w:sz="2" w:space="0" w:color="FFFFFF"/>
                <w:bottom w:val="single" w:sz="2" w:space="2" w:color="FFFFFF"/>
                <w:right w:val="single" w:sz="2" w:space="4" w:color="FFFFFF"/>
              </w:pBdr>
              <w:tabs>
                <w:tab w:val="left" w:pos="851"/>
              </w:tabs>
              <w:rPr>
                <w:rFonts w:cs="Arial"/>
                <w:b/>
                <w:sz w:val="22"/>
                <w:szCs w:val="22"/>
                <w:u w:val="single"/>
              </w:rPr>
            </w:pPr>
          </w:p>
        </w:tc>
      </w:tr>
      <w:tr w:rsidR="00FD2FEA" w:rsidRPr="00595CDA" w14:paraId="7C24655F" w14:textId="77777777" w:rsidTr="00C8392A">
        <w:tc>
          <w:tcPr>
            <w:tcW w:w="9463" w:type="dxa"/>
          </w:tcPr>
          <w:p w14:paraId="085691CF" w14:textId="77777777" w:rsidR="00FD2FEA" w:rsidRPr="009F4DC1" w:rsidRDefault="00FD2FEA" w:rsidP="009F4DC1">
            <w:pPr>
              <w:pBdr>
                <w:top w:val="single" w:sz="2" w:space="1" w:color="FFFFFF"/>
                <w:left w:val="single" w:sz="2" w:space="0" w:color="FFFFFF"/>
                <w:bottom w:val="single" w:sz="2" w:space="2" w:color="FFFFFF"/>
                <w:right w:val="single" w:sz="2" w:space="4" w:color="FFFFFF"/>
              </w:pBdr>
              <w:tabs>
                <w:tab w:val="left" w:pos="567"/>
              </w:tabs>
              <w:rPr>
                <w:rFonts w:cs="Arial"/>
                <w:sz w:val="22"/>
              </w:rPr>
            </w:pPr>
          </w:p>
        </w:tc>
      </w:tr>
      <w:tr w:rsidR="00FD2FEA" w:rsidRPr="00595CDA" w14:paraId="3172734B" w14:textId="77777777" w:rsidTr="00C8392A">
        <w:tc>
          <w:tcPr>
            <w:tcW w:w="9463" w:type="dxa"/>
          </w:tcPr>
          <w:p w14:paraId="1B51F00A" w14:textId="77777777" w:rsidR="00FD2FEA" w:rsidRPr="009F4DC1" w:rsidRDefault="00FD2FEA" w:rsidP="009F4DC1">
            <w:pPr>
              <w:pBdr>
                <w:top w:val="single" w:sz="2" w:space="1" w:color="FFFFFF"/>
                <w:left w:val="single" w:sz="2" w:space="0" w:color="FFFFFF"/>
                <w:bottom w:val="single" w:sz="2" w:space="2" w:color="FFFFFF"/>
                <w:right w:val="single" w:sz="2" w:space="4" w:color="FFFFFF"/>
              </w:pBdr>
              <w:tabs>
                <w:tab w:val="left" w:pos="567"/>
              </w:tabs>
              <w:rPr>
                <w:rFonts w:cs="Arial"/>
                <w:sz w:val="22"/>
              </w:rPr>
            </w:pPr>
          </w:p>
        </w:tc>
      </w:tr>
    </w:tbl>
    <w:p w14:paraId="0EBDDEEA" w14:textId="77777777" w:rsidR="0018142C" w:rsidRPr="00595CDA" w:rsidRDefault="0018142C" w:rsidP="0018142C">
      <w:pPr>
        <w:pStyle w:val="ListParagraph"/>
        <w:ind w:left="644"/>
        <w:rPr>
          <w:rFonts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9"/>
        <w:gridCol w:w="2007"/>
        <w:gridCol w:w="2008"/>
        <w:gridCol w:w="2242"/>
      </w:tblGrid>
      <w:tr w:rsidR="000C5D20" w:rsidRPr="0048482B" w14:paraId="17967737" w14:textId="77777777" w:rsidTr="00C8392A">
        <w:trPr>
          <w:trHeight w:val="322"/>
        </w:trPr>
        <w:tc>
          <w:tcPr>
            <w:tcW w:w="3099" w:type="dxa"/>
            <w:vAlign w:val="center"/>
          </w:tcPr>
          <w:p w14:paraId="251D623E" w14:textId="77777777" w:rsidR="000C5D20" w:rsidRPr="0048482B" w:rsidRDefault="000C5D20" w:rsidP="0048482B">
            <w:pPr>
              <w:rPr>
                <w:rFonts w:cs="Arial"/>
                <w:b/>
                <w:sz w:val="22"/>
                <w:szCs w:val="22"/>
              </w:rPr>
            </w:pPr>
            <w:r w:rsidRPr="0048482B">
              <w:rPr>
                <w:rFonts w:cs="Arial"/>
                <w:b/>
                <w:sz w:val="22"/>
                <w:szCs w:val="22"/>
              </w:rPr>
              <w:t>Report Author</w:t>
            </w:r>
          </w:p>
        </w:tc>
        <w:tc>
          <w:tcPr>
            <w:tcW w:w="2007" w:type="dxa"/>
            <w:vAlign w:val="center"/>
          </w:tcPr>
          <w:p w14:paraId="734EB6F1" w14:textId="77777777" w:rsidR="000C5D20" w:rsidRPr="0048482B" w:rsidRDefault="000C5D20" w:rsidP="0048482B">
            <w:pPr>
              <w:rPr>
                <w:rFonts w:cs="Arial"/>
                <w:b/>
                <w:sz w:val="22"/>
                <w:szCs w:val="22"/>
              </w:rPr>
            </w:pPr>
            <w:r w:rsidRPr="0048482B">
              <w:rPr>
                <w:rFonts w:cs="Arial"/>
                <w:b/>
                <w:sz w:val="22"/>
                <w:szCs w:val="22"/>
              </w:rPr>
              <w:t>Ext</w:t>
            </w:r>
          </w:p>
        </w:tc>
        <w:tc>
          <w:tcPr>
            <w:tcW w:w="2008" w:type="dxa"/>
            <w:vAlign w:val="center"/>
          </w:tcPr>
          <w:p w14:paraId="2DCD3443" w14:textId="77777777" w:rsidR="000C5D20" w:rsidRPr="0048482B" w:rsidRDefault="000C5D20" w:rsidP="0048482B">
            <w:pPr>
              <w:rPr>
                <w:rFonts w:cs="Arial"/>
                <w:b/>
                <w:sz w:val="22"/>
                <w:szCs w:val="22"/>
              </w:rPr>
            </w:pPr>
            <w:r w:rsidRPr="0048482B">
              <w:rPr>
                <w:rFonts w:cs="Arial"/>
                <w:b/>
                <w:sz w:val="22"/>
                <w:szCs w:val="22"/>
              </w:rPr>
              <w:t>Date</w:t>
            </w:r>
          </w:p>
        </w:tc>
        <w:tc>
          <w:tcPr>
            <w:tcW w:w="2242" w:type="dxa"/>
            <w:vAlign w:val="center"/>
          </w:tcPr>
          <w:p w14:paraId="345AB9CB" w14:textId="77777777" w:rsidR="000C5D20" w:rsidRPr="0048482B" w:rsidRDefault="000C5D20" w:rsidP="0048482B">
            <w:pPr>
              <w:rPr>
                <w:rFonts w:cs="Arial"/>
                <w:b/>
                <w:sz w:val="22"/>
                <w:szCs w:val="22"/>
              </w:rPr>
            </w:pPr>
            <w:r w:rsidRPr="0048482B">
              <w:rPr>
                <w:rFonts w:cs="Arial"/>
                <w:b/>
                <w:sz w:val="22"/>
                <w:szCs w:val="22"/>
              </w:rPr>
              <w:t>Doc ID</w:t>
            </w:r>
          </w:p>
        </w:tc>
      </w:tr>
      <w:tr w:rsidR="000C5D20" w:rsidRPr="0048482B" w14:paraId="671E4F60" w14:textId="77777777" w:rsidTr="00C8392A">
        <w:trPr>
          <w:trHeight w:val="322"/>
        </w:trPr>
        <w:tc>
          <w:tcPr>
            <w:tcW w:w="3099" w:type="dxa"/>
            <w:vAlign w:val="center"/>
          </w:tcPr>
          <w:p w14:paraId="026843FD" w14:textId="77777777" w:rsidR="000C5D20" w:rsidRPr="0048482B" w:rsidRDefault="00361FBF" w:rsidP="0048482B">
            <w:pPr>
              <w:rPr>
                <w:rFonts w:cs="Arial"/>
                <w:sz w:val="22"/>
                <w:szCs w:val="22"/>
              </w:rPr>
            </w:pPr>
            <w:r w:rsidRPr="0048482B">
              <w:rPr>
                <w:rFonts w:cs="Arial"/>
                <w:sz w:val="22"/>
                <w:szCs w:val="22"/>
              </w:rPr>
              <w:t>Zoe Whiteside</w:t>
            </w:r>
          </w:p>
        </w:tc>
        <w:tc>
          <w:tcPr>
            <w:tcW w:w="2007" w:type="dxa"/>
            <w:vAlign w:val="center"/>
          </w:tcPr>
          <w:p w14:paraId="7504ED91" w14:textId="77777777" w:rsidR="000C5D20" w:rsidRPr="0048482B" w:rsidRDefault="003B0559" w:rsidP="0048482B">
            <w:pPr>
              <w:rPr>
                <w:rFonts w:cs="Arial"/>
                <w:sz w:val="22"/>
                <w:szCs w:val="22"/>
              </w:rPr>
            </w:pPr>
            <w:r>
              <w:rPr>
                <w:rFonts w:cs="Arial"/>
                <w:sz w:val="22"/>
                <w:szCs w:val="22"/>
              </w:rPr>
              <w:t>01257 51</w:t>
            </w:r>
            <w:r w:rsidR="00361FBF" w:rsidRPr="0048482B">
              <w:rPr>
                <w:rFonts w:cs="Arial"/>
                <w:sz w:val="22"/>
                <w:szCs w:val="22"/>
              </w:rPr>
              <w:t>5771</w:t>
            </w:r>
          </w:p>
        </w:tc>
        <w:tc>
          <w:tcPr>
            <w:tcW w:w="2008" w:type="dxa"/>
            <w:vAlign w:val="center"/>
          </w:tcPr>
          <w:p w14:paraId="591AB768" w14:textId="43FF3A55" w:rsidR="000C5D20" w:rsidRPr="0048482B" w:rsidRDefault="00D34EE1" w:rsidP="0048482B">
            <w:pPr>
              <w:rPr>
                <w:rFonts w:cs="Arial"/>
                <w:sz w:val="22"/>
                <w:szCs w:val="22"/>
              </w:rPr>
            </w:pPr>
            <w:r>
              <w:rPr>
                <w:rFonts w:cs="Arial"/>
                <w:sz w:val="22"/>
                <w:szCs w:val="22"/>
              </w:rPr>
              <w:t>24/05/2019</w:t>
            </w:r>
          </w:p>
        </w:tc>
        <w:tc>
          <w:tcPr>
            <w:tcW w:w="2242" w:type="dxa"/>
            <w:vAlign w:val="center"/>
          </w:tcPr>
          <w:p w14:paraId="70FAF88E" w14:textId="77777777" w:rsidR="000C5D20" w:rsidRPr="0048482B" w:rsidRDefault="000C5D20" w:rsidP="0048482B">
            <w:pPr>
              <w:rPr>
                <w:rFonts w:cs="Arial"/>
                <w:sz w:val="22"/>
                <w:szCs w:val="22"/>
              </w:rPr>
            </w:pPr>
          </w:p>
        </w:tc>
      </w:tr>
    </w:tbl>
    <w:p w14:paraId="10D81661" w14:textId="77777777" w:rsidR="00496637" w:rsidRDefault="00496637" w:rsidP="0048482B">
      <w:pPr>
        <w:rPr>
          <w:rFonts w:cs="Arial"/>
          <w:sz w:val="22"/>
          <w:szCs w:val="22"/>
        </w:rPr>
      </w:pPr>
    </w:p>
    <w:p w14:paraId="4CDF4E6B" w14:textId="77777777" w:rsidR="00496637" w:rsidRPr="00496637" w:rsidRDefault="00496637" w:rsidP="0048482B">
      <w:pPr>
        <w:rPr>
          <w:rFonts w:cs="Arial"/>
          <w:b/>
          <w:sz w:val="22"/>
          <w:szCs w:val="22"/>
        </w:rPr>
      </w:pPr>
    </w:p>
    <w:sectPr w:rsidR="00496637" w:rsidRPr="00496637" w:rsidSect="00BE59D6">
      <w:headerReference w:type="first" r:id="rId12"/>
      <w:footerReference w:type="first" r:id="rId13"/>
      <w:pgSz w:w="11907" w:h="16840" w:code="9"/>
      <w:pgMar w:top="1134" w:right="1134" w:bottom="851" w:left="1418" w:header="680"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2E58" w14:textId="77777777" w:rsidR="00605A85" w:rsidRDefault="00605A85">
      <w:r>
        <w:separator/>
      </w:r>
    </w:p>
  </w:endnote>
  <w:endnote w:type="continuationSeparator" w:id="0">
    <w:p w14:paraId="3C568583" w14:textId="77777777" w:rsidR="00605A85" w:rsidRDefault="0060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6590" w14:textId="77777777" w:rsidR="00605A85" w:rsidRDefault="00605A85">
    <w:pPr>
      <w:pStyle w:val="Footer"/>
      <w:tabs>
        <w:tab w:val="clear" w:pos="8640"/>
        <w:tab w:val="right" w:pos="8522"/>
      </w:tabs>
      <w:ind w:left="142"/>
      <w:rPr>
        <w:sz w:val="4"/>
      </w:rPr>
    </w:pPr>
  </w:p>
  <w:p w14:paraId="2B0BFF4F" w14:textId="77777777" w:rsidR="00605A85" w:rsidRDefault="00605A8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2125" w14:textId="77777777" w:rsidR="00605A85" w:rsidRDefault="00605A85">
      <w:r>
        <w:separator/>
      </w:r>
    </w:p>
  </w:footnote>
  <w:footnote w:type="continuationSeparator" w:id="0">
    <w:p w14:paraId="54B8DCBD" w14:textId="77777777" w:rsidR="00605A85" w:rsidRDefault="0060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8065" w14:textId="77777777" w:rsidR="00605A85" w:rsidRDefault="00605A85">
    <w:pPr>
      <w:pStyle w:val="Header"/>
      <w:rPr>
        <w:rFonts w:ascii="Arial Black" w:hAnsi="Arial Black"/>
        <w:sz w:val="16"/>
      </w:rPr>
    </w:pPr>
  </w:p>
  <w:p w14:paraId="6EB7787B" w14:textId="77777777" w:rsidR="00605A85" w:rsidRDefault="0060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5F7"/>
    <w:multiLevelType w:val="hybridMultilevel"/>
    <w:tmpl w:val="8F56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6292"/>
    <w:multiLevelType w:val="hybridMultilevel"/>
    <w:tmpl w:val="9CDAF89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2842"/>
    <w:multiLevelType w:val="hybridMultilevel"/>
    <w:tmpl w:val="5E86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07E4D"/>
    <w:multiLevelType w:val="hybridMultilevel"/>
    <w:tmpl w:val="6AFE002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00749"/>
    <w:multiLevelType w:val="hybridMultilevel"/>
    <w:tmpl w:val="59209CF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C75D2"/>
    <w:multiLevelType w:val="hybridMultilevel"/>
    <w:tmpl w:val="7E3059A8"/>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6" w15:restartNumberingAfterBreak="0">
    <w:nsid w:val="28CB2F2F"/>
    <w:multiLevelType w:val="hybridMultilevel"/>
    <w:tmpl w:val="CBDC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36670"/>
    <w:multiLevelType w:val="hybridMultilevel"/>
    <w:tmpl w:val="4A0E6006"/>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46601EBA"/>
    <w:multiLevelType w:val="hybridMultilevel"/>
    <w:tmpl w:val="F83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B0EF7"/>
    <w:multiLevelType w:val="hybridMultilevel"/>
    <w:tmpl w:val="8D56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C0C45"/>
    <w:multiLevelType w:val="hybridMultilevel"/>
    <w:tmpl w:val="D8A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07A86"/>
    <w:multiLevelType w:val="hybridMultilevel"/>
    <w:tmpl w:val="67E8B292"/>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75075AD4"/>
    <w:multiLevelType w:val="hybridMultilevel"/>
    <w:tmpl w:val="95FC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70EEC"/>
    <w:multiLevelType w:val="hybridMultilevel"/>
    <w:tmpl w:val="C0C02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019C9"/>
    <w:multiLevelType w:val="hybridMultilevel"/>
    <w:tmpl w:val="EA903E18"/>
    <w:lvl w:ilvl="0" w:tplc="DB165C30">
      <w:start w:val="1"/>
      <w:numFmt w:val="decimal"/>
      <w:lvlText w:val="%13."/>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4"/>
  </w:num>
  <w:num w:numId="5">
    <w:abstractNumId w:val="5"/>
  </w:num>
  <w:num w:numId="6">
    <w:abstractNumId w:val="8"/>
  </w:num>
  <w:num w:numId="7">
    <w:abstractNumId w:val="0"/>
  </w:num>
  <w:num w:numId="8">
    <w:abstractNumId w:val="12"/>
  </w:num>
  <w:num w:numId="9">
    <w:abstractNumId w:val="9"/>
  </w:num>
  <w:num w:numId="10">
    <w:abstractNumId w:val="4"/>
  </w:num>
  <w:num w:numId="11">
    <w:abstractNumId w:val="3"/>
  </w:num>
  <w:num w:numId="12">
    <w:abstractNumId w:val="1"/>
  </w:num>
  <w:num w:numId="13">
    <w:abstractNumId w:val="6"/>
  </w:num>
  <w:num w:numId="14">
    <w:abstractNumId w:val="2"/>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F3"/>
    <w:rsid w:val="000203A1"/>
    <w:rsid w:val="00021B97"/>
    <w:rsid w:val="00043DF9"/>
    <w:rsid w:val="0008391D"/>
    <w:rsid w:val="0009120B"/>
    <w:rsid w:val="000C5D20"/>
    <w:rsid w:val="000C7086"/>
    <w:rsid w:val="000D28BA"/>
    <w:rsid w:val="000D65B1"/>
    <w:rsid w:val="000F0D82"/>
    <w:rsid w:val="00102281"/>
    <w:rsid w:val="00107608"/>
    <w:rsid w:val="001425A9"/>
    <w:rsid w:val="001616A1"/>
    <w:rsid w:val="001618DE"/>
    <w:rsid w:val="001766F3"/>
    <w:rsid w:val="0018142C"/>
    <w:rsid w:val="00181648"/>
    <w:rsid w:val="001A27DF"/>
    <w:rsid w:val="001E143C"/>
    <w:rsid w:val="00240030"/>
    <w:rsid w:val="00242957"/>
    <w:rsid w:val="00242B44"/>
    <w:rsid w:val="002468CC"/>
    <w:rsid w:val="002667C7"/>
    <w:rsid w:val="0029771D"/>
    <w:rsid w:val="002A11E3"/>
    <w:rsid w:val="002C35F8"/>
    <w:rsid w:val="002D1B79"/>
    <w:rsid w:val="002F1F82"/>
    <w:rsid w:val="002F5B13"/>
    <w:rsid w:val="00307806"/>
    <w:rsid w:val="003122DB"/>
    <w:rsid w:val="0032111C"/>
    <w:rsid w:val="00323232"/>
    <w:rsid w:val="00355F92"/>
    <w:rsid w:val="00361FBF"/>
    <w:rsid w:val="0038213C"/>
    <w:rsid w:val="00391D8E"/>
    <w:rsid w:val="003B0559"/>
    <w:rsid w:val="003B177E"/>
    <w:rsid w:val="003C14EE"/>
    <w:rsid w:val="003C6CA5"/>
    <w:rsid w:val="003D3566"/>
    <w:rsid w:val="003D7CF5"/>
    <w:rsid w:val="003F4C49"/>
    <w:rsid w:val="00410249"/>
    <w:rsid w:val="00411A48"/>
    <w:rsid w:val="00445743"/>
    <w:rsid w:val="0045119A"/>
    <w:rsid w:val="00452DE8"/>
    <w:rsid w:val="0045371E"/>
    <w:rsid w:val="004705DA"/>
    <w:rsid w:val="0048482B"/>
    <w:rsid w:val="00496637"/>
    <w:rsid w:val="004A1C3E"/>
    <w:rsid w:val="004A265E"/>
    <w:rsid w:val="004A78B0"/>
    <w:rsid w:val="004C0256"/>
    <w:rsid w:val="004E4989"/>
    <w:rsid w:val="004E7CEC"/>
    <w:rsid w:val="00501C50"/>
    <w:rsid w:val="00506510"/>
    <w:rsid w:val="00511666"/>
    <w:rsid w:val="00530CDC"/>
    <w:rsid w:val="00534ABC"/>
    <w:rsid w:val="00550B6D"/>
    <w:rsid w:val="0056320F"/>
    <w:rsid w:val="00595CDA"/>
    <w:rsid w:val="005A2609"/>
    <w:rsid w:val="005A3CFB"/>
    <w:rsid w:val="005B20BB"/>
    <w:rsid w:val="005C0A52"/>
    <w:rsid w:val="005C1DC2"/>
    <w:rsid w:val="005D660B"/>
    <w:rsid w:val="005D6B83"/>
    <w:rsid w:val="005F116B"/>
    <w:rsid w:val="005F1B68"/>
    <w:rsid w:val="005F1E6F"/>
    <w:rsid w:val="006005C5"/>
    <w:rsid w:val="00601D5A"/>
    <w:rsid w:val="00605A85"/>
    <w:rsid w:val="006358D5"/>
    <w:rsid w:val="00667929"/>
    <w:rsid w:val="00667AB4"/>
    <w:rsid w:val="0069420C"/>
    <w:rsid w:val="00696CE8"/>
    <w:rsid w:val="006A35B0"/>
    <w:rsid w:val="006A5A48"/>
    <w:rsid w:val="006B525F"/>
    <w:rsid w:val="006D7357"/>
    <w:rsid w:val="006E5FAD"/>
    <w:rsid w:val="006E61EB"/>
    <w:rsid w:val="006F19B6"/>
    <w:rsid w:val="006F35F9"/>
    <w:rsid w:val="00726DD4"/>
    <w:rsid w:val="007279EF"/>
    <w:rsid w:val="00730BD5"/>
    <w:rsid w:val="00751D3C"/>
    <w:rsid w:val="007573CD"/>
    <w:rsid w:val="00774CCA"/>
    <w:rsid w:val="00794516"/>
    <w:rsid w:val="00796A9C"/>
    <w:rsid w:val="007E36E3"/>
    <w:rsid w:val="007F5862"/>
    <w:rsid w:val="00816A09"/>
    <w:rsid w:val="008176E4"/>
    <w:rsid w:val="00833C70"/>
    <w:rsid w:val="008471EC"/>
    <w:rsid w:val="00851A69"/>
    <w:rsid w:val="0086166C"/>
    <w:rsid w:val="00870B53"/>
    <w:rsid w:val="00876BBF"/>
    <w:rsid w:val="00882F7C"/>
    <w:rsid w:val="008A6C96"/>
    <w:rsid w:val="008B5EA2"/>
    <w:rsid w:val="008C23E4"/>
    <w:rsid w:val="008C628B"/>
    <w:rsid w:val="008D1F88"/>
    <w:rsid w:val="008D481D"/>
    <w:rsid w:val="008D4844"/>
    <w:rsid w:val="00913AB0"/>
    <w:rsid w:val="00930295"/>
    <w:rsid w:val="00956017"/>
    <w:rsid w:val="00961A2D"/>
    <w:rsid w:val="00975418"/>
    <w:rsid w:val="009838A4"/>
    <w:rsid w:val="009A7A14"/>
    <w:rsid w:val="009C1D08"/>
    <w:rsid w:val="009D5C35"/>
    <w:rsid w:val="009F4DC1"/>
    <w:rsid w:val="00A2073E"/>
    <w:rsid w:val="00A21FB6"/>
    <w:rsid w:val="00A22E93"/>
    <w:rsid w:val="00A23BA9"/>
    <w:rsid w:val="00A264DE"/>
    <w:rsid w:val="00A26A6F"/>
    <w:rsid w:val="00A43A23"/>
    <w:rsid w:val="00A4417B"/>
    <w:rsid w:val="00A572B3"/>
    <w:rsid w:val="00AA19F4"/>
    <w:rsid w:val="00AB35A1"/>
    <w:rsid w:val="00AF0118"/>
    <w:rsid w:val="00B01C9A"/>
    <w:rsid w:val="00B13665"/>
    <w:rsid w:val="00B21D70"/>
    <w:rsid w:val="00B72287"/>
    <w:rsid w:val="00B8052D"/>
    <w:rsid w:val="00B85F3A"/>
    <w:rsid w:val="00B87A92"/>
    <w:rsid w:val="00B931AE"/>
    <w:rsid w:val="00B95A63"/>
    <w:rsid w:val="00BA0F42"/>
    <w:rsid w:val="00BA2F87"/>
    <w:rsid w:val="00BC66DE"/>
    <w:rsid w:val="00BD7030"/>
    <w:rsid w:val="00BE59D6"/>
    <w:rsid w:val="00C426E1"/>
    <w:rsid w:val="00C752BE"/>
    <w:rsid w:val="00C8392A"/>
    <w:rsid w:val="00CA40CB"/>
    <w:rsid w:val="00CB119F"/>
    <w:rsid w:val="00CB14FF"/>
    <w:rsid w:val="00CB3860"/>
    <w:rsid w:val="00CB5A2A"/>
    <w:rsid w:val="00CC466A"/>
    <w:rsid w:val="00CE3DC7"/>
    <w:rsid w:val="00D0204B"/>
    <w:rsid w:val="00D2027B"/>
    <w:rsid w:val="00D34EE1"/>
    <w:rsid w:val="00D636B4"/>
    <w:rsid w:val="00D7399D"/>
    <w:rsid w:val="00D92631"/>
    <w:rsid w:val="00DB4802"/>
    <w:rsid w:val="00DD2FB5"/>
    <w:rsid w:val="00DF288F"/>
    <w:rsid w:val="00E137AA"/>
    <w:rsid w:val="00E233A7"/>
    <w:rsid w:val="00E45870"/>
    <w:rsid w:val="00E61E10"/>
    <w:rsid w:val="00E80217"/>
    <w:rsid w:val="00E87E0A"/>
    <w:rsid w:val="00E91A2D"/>
    <w:rsid w:val="00EB4983"/>
    <w:rsid w:val="00EC1937"/>
    <w:rsid w:val="00EC3886"/>
    <w:rsid w:val="00ED21AF"/>
    <w:rsid w:val="00ED7571"/>
    <w:rsid w:val="00EE0926"/>
    <w:rsid w:val="00EE28C2"/>
    <w:rsid w:val="00EF09B2"/>
    <w:rsid w:val="00EF44D5"/>
    <w:rsid w:val="00F15D35"/>
    <w:rsid w:val="00F20438"/>
    <w:rsid w:val="00F36803"/>
    <w:rsid w:val="00F37BE8"/>
    <w:rsid w:val="00F87761"/>
    <w:rsid w:val="00F94C72"/>
    <w:rsid w:val="00FD2FEA"/>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1CE2B7"/>
  <w15:docId w15:val="{8705371A-B705-4F1B-9D54-6520AFE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FBF"/>
    <w:pPr>
      <w:ind w:left="720"/>
      <w:contextualSpacing/>
    </w:pPr>
  </w:style>
  <w:style w:type="paragraph" w:styleId="NormalWeb">
    <w:name w:val="Normal (Web)"/>
    <w:basedOn w:val="Normal"/>
    <w:uiPriority w:val="99"/>
    <w:unhideWhenUsed/>
    <w:rsid w:val="001618DE"/>
    <w:pPr>
      <w:spacing w:before="100" w:beforeAutospacing="1" w:after="100" w:afterAutospacing="1"/>
      <w:jc w:val="left"/>
    </w:pPr>
    <w:rPr>
      <w:rFonts w:ascii="Times New Roman" w:eastAsiaTheme="minorHAnsi" w:hAnsi="Times New Roman"/>
      <w:szCs w:val="24"/>
      <w:lang w:eastAsia="en-GB"/>
    </w:rPr>
  </w:style>
  <w:style w:type="paragraph" w:styleId="NoSpacing">
    <w:name w:val="No Spacing"/>
    <w:uiPriority w:val="1"/>
    <w:qFormat/>
    <w:rsid w:val="0048482B"/>
    <w:pPr>
      <w:jc w:val="both"/>
    </w:pPr>
    <w:rPr>
      <w:rFonts w:ascii="Arial" w:hAnsi="Arial"/>
      <w:sz w:val="24"/>
      <w:lang w:eastAsia="en-US"/>
    </w:rPr>
  </w:style>
  <w:style w:type="table" w:customStyle="1" w:styleId="TableGrid1">
    <w:name w:val="Table Grid1"/>
    <w:basedOn w:val="TableNormal"/>
    <w:next w:val="TableGrid"/>
    <w:uiPriority w:val="59"/>
    <w:rsid w:val="00AF01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21B97"/>
    <w:rPr>
      <w:i/>
      <w:iCs/>
      <w:color w:val="404040" w:themeColor="text1" w:themeTint="BF"/>
    </w:rPr>
  </w:style>
  <w:style w:type="table" w:styleId="GridTable1Light-Accent1">
    <w:name w:val="Grid Table 1 Light Accent 1"/>
    <w:basedOn w:val="TableNormal"/>
    <w:uiPriority w:val="46"/>
    <w:rsid w:val="002F5B13"/>
    <w:rPr>
      <w:rFonts w:asciiTheme="minorHAnsi" w:eastAsiaTheme="minorEastAsia" w:hAnsiTheme="minorHAnsi" w:cstheme="minorBidi"/>
      <w:sz w:val="22"/>
      <w:szCs w:val="22"/>
      <w:lang w:eastAsia="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F5B13"/>
    <w:rPr>
      <w:rFonts w:asciiTheme="minorHAnsi" w:eastAsiaTheme="minorEastAsia" w:hAnsiTheme="minorHAnsi" w:cstheme="minorBidi"/>
      <w:sz w:val="22"/>
      <w:szCs w:val="22"/>
      <w:lang w:eastAsia="en-US"/>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8437">
      <w:bodyDiv w:val="1"/>
      <w:marLeft w:val="0"/>
      <w:marRight w:val="0"/>
      <w:marTop w:val="0"/>
      <w:marBottom w:val="0"/>
      <w:divBdr>
        <w:top w:val="none" w:sz="0" w:space="0" w:color="auto"/>
        <w:left w:val="none" w:sz="0" w:space="0" w:color="auto"/>
        <w:bottom w:val="none" w:sz="0" w:space="0" w:color="auto"/>
        <w:right w:val="none" w:sz="0" w:space="0" w:color="auto"/>
      </w:divBdr>
    </w:div>
    <w:div w:id="737442397">
      <w:bodyDiv w:val="1"/>
      <w:marLeft w:val="0"/>
      <w:marRight w:val="0"/>
      <w:marTop w:val="0"/>
      <w:marBottom w:val="0"/>
      <w:divBdr>
        <w:top w:val="none" w:sz="0" w:space="0" w:color="auto"/>
        <w:left w:val="none" w:sz="0" w:space="0" w:color="auto"/>
        <w:bottom w:val="none" w:sz="0" w:space="0" w:color="auto"/>
        <w:right w:val="none" w:sz="0" w:space="0" w:color="auto"/>
      </w:divBdr>
    </w:div>
    <w:div w:id="996417937">
      <w:bodyDiv w:val="1"/>
      <w:marLeft w:val="0"/>
      <w:marRight w:val="0"/>
      <w:marTop w:val="0"/>
      <w:marBottom w:val="0"/>
      <w:divBdr>
        <w:top w:val="none" w:sz="0" w:space="0" w:color="auto"/>
        <w:left w:val="none" w:sz="0" w:space="0" w:color="auto"/>
        <w:bottom w:val="none" w:sz="0" w:space="0" w:color="auto"/>
        <w:right w:val="none" w:sz="0" w:space="0" w:color="auto"/>
      </w:divBdr>
    </w:div>
    <w:div w:id="1243954104">
      <w:bodyDiv w:val="1"/>
      <w:marLeft w:val="0"/>
      <w:marRight w:val="0"/>
      <w:marTop w:val="0"/>
      <w:marBottom w:val="0"/>
      <w:divBdr>
        <w:top w:val="none" w:sz="0" w:space="0" w:color="auto"/>
        <w:left w:val="none" w:sz="0" w:space="0" w:color="auto"/>
        <w:bottom w:val="none" w:sz="0" w:space="0" w:color="auto"/>
        <w:right w:val="none" w:sz="0" w:space="0" w:color="auto"/>
      </w:divBdr>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1979653144">
      <w:bodyDiv w:val="1"/>
      <w:marLeft w:val="0"/>
      <w:marRight w:val="0"/>
      <w:marTop w:val="0"/>
      <w:marBottom w:val="0"/>
      <w:divBdr>
        <w:top w:val="none" w:sz="0" w:space="0" w:color="auto"/>
        <w:left w:val="none" w:sz="0" w:space="0" w:color="auto"/>
        <w:bottom w:val="none" w:sz="0" w:space="0" w:color="auto"/>
        <w:right w:val="none" w:sz="0" w:space="0" w:color="auto"/>
      </w:divBdr>
    </w:div>
    <w:div w:id="2017465044">
      <w:bodyDiv w:val="1"/>
      <w:marLeft w:val="0"/>
      <w:marRight w:val="0"/>
      <w:marTop w:val="0"/>
      <w:marBottom w:val="0"/>
      <w:divBdr>
        <w:top w:val="none" w:sz="0" w:space="0" w:color="auto"/>
        <w:left w:val="none" w:sz="0" w:space="0" w:color="auto"/>
        <w:bottom w:val="none" w:sz="0" w:space="0" w:color="auto"/>
        <w:right w:val="none" w:sz="0" w:space="0" w:color="auto"/>
      </w:divBdr>
      <w:divsChild>
        <w:div w:id="1954507710">
          <w:marLeft w:val="0"/>
          <w:marRight w:val="0"/>
          <w:marTop w:val="0"/>
          <w:marBottom w:val="0"/>
          <w:divBdr>
            <w:top w:val="none" w:sz="0" w:space="0" w:color="auto"/>
            <w:left w:val="none" w:sz="0" w:space="0" w:color="auto"/>
            <w:bottom w:val="none" w:sz="0" w:space="0" w:color="auto"/>
            <w:right w:val="none" w:sz="0" w:space="0" w:color="auto"/>
          </w:divBdr>
          <w:divsChild>
            <w:div w:id="2039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4716-5CEE-4032-90B5-3F0327ABC622}">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4.xml><?xml version="1.0" encoding="utf-8"?>
<ds:datastoreItem xmlns:ds="http://schemas.openxmlformats.org/officeDocument/2006/customXml" ds:itemID="{C50A5E6A-D4AC-4DAB-BEB6-D4230C9B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189</TotalTime>
  <Pages>8</Pages>
  <Words>2618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REPORT</dc:subject>
  <dc:creator>Ruth Rimmington</dc:creator>
  <cp:lastModifiedBy>Lynch, Charlotte</cp:lastModifiedBy>
  <cp:revision>18</cp:revision>
  <cp:lastPrinted>2018-11-05T10:52:00Z</cp:lastPrinted>
  <dcterms:created xsi:type="dcterms:W3CDTF">2019-05-24T07:44:00Z</dcterms:created>
  <dcterms:modified xsi:type="dcterms:W3CDTF">2019-05-24T15:18:00Z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_NewReviewCycle">
    <vt:lpwstr/>
  </property>
  <property fmtid="{D5CDD505-2E9C-101B-9397-08002B2CF9AE}" pid="4" name="ContentTypeId">
    <vt:lpwstr>0x010100E5833E22D5E68F45A7BB288F977285D9</vt:lpwstr>
  </property>
</Properties>
</file>